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1" w:rsidRPr="00E10FF7" w:rsidRDefault="00851361" w:rsidP="00851361">
      <w:pPr>
        <w:pStyle w:val="En-tte"/>
        <w:rPr>
          <w:rFonts w:ascii="Arial Rounded MT Bold" w:hAnsi="Arial Rounded MT Bold"/>
          <w:b/>
          <w:bCs/>
          <w:i/>
        </w:rPr>
      </w:pPr>
      <w:bookmarkStart w:id="0" w:name="_GoBack"/>
      <w:bookmarkEnd w:id="0"/>
      <w:r w:rsidRPr="00E10FF7">
        <w:rPr>
          <w:b/>
          <w:sz w:val="28"/>
          <w:szCs w:val="28"/>
        </w:rPr>
        <w:t xml:space="preserve">Grille d’évaluation : </w:t>
      </w:r>
      <w:r w:rsidR="007B2BA2">
        <w:rPr>
          <w:b/>
          <w:color w:val="7030A0"/>
          <w:sz w:val="36"/>
          <w:szCs w:val="36"/>
        </w:rPr>
        <w:t xml:space="preserve">Arts plastiques </w:t>
      </w:r>
      <w:r w:rsidR="009162E3" w:rsidRPr="00E10FF7"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Pr="00E10FF7">
        <w:rPr>
          <w:b/>
          <w:color w:val="7030A0"/>
          <w:sz w:val="36"/>
          <w:szCs w:val="36"/>
        </w:rPr>
        <w:t xml:space="preserve"> 1</w:t>
      </w:r>
      <w:r w:rsidRPr="00E10FF7">
        <w:rPr>
          <w:b/>
          <w:color w:val="7030A0"/>
          <w:sz w:val="36"/>
          <w:szCs w:val="36"/>
          <w:vertAlign w:val="superscript"/>
        </w:rPr>
        <w:t>er</w:t>
      </w:r>
      <w:r w:rsidR="009162E3" w:rsidRPr="00E10FF7">
        <w:rPr>
          <w:b/>
          <w:color w:val="7030A0"/>
          <w:sz w:val="36"/>
          <w:szCs w:val="36"/>
        </w:rPr>
        <w:t xml:space="preserve"> </w:t>
      </w:r>
      <w:r w:rsidR="007A152A">
        <w:rPr>
          <w:b/>
          <w:color w:val="7030A0"/>
          <w:sz w:val="36"/>
          <w:szCs w:val="36"/>
        </w:rPr>
        <w:t>et 2</w:t>
      </w:r>
      <w:r w:rsidR="007A152A" w:rsidRPr="007A152A">
        <w:rPr>
          <w:b/>
          <w:color w:val="7030A0"/>
          <w:sz w:val="36"/>
          <w:szCs w:val="36"/>
          <w:vertAlign w:val="superscript"/>
        </w:rPr>
        <w:t>e</w:t>
      </w:r>
      <w:r w:rsidR="007A152A">
        <w:rPr>
          <w:b/>
          <w:color w:val="7030A0"/>
          <w:sz w:val="36"/>
          <w:szCs w:val="36"/>
        </w:rPr>
        <w:t xml:space="preserve"> </w:t>
      </w:r>
      <w:r w:rsidR="009162E3" w:rsidRPr="00E10FF7">
        <w:rPr>
          <w:b/>
          <w:color w:val="7030A0"/>
          <w:sz w:val="36"/>
          <w:szCs w:val="36"/>
        </w:rPr>
        <w:t>cycle</w:t>
      </w:r>
      <w:r w:rsidR="009162E3" w:rsidRPr="00E10FF7">
        <w:rPr>
          <w:b/>
          <w:color w:val="7030A0"/>
          <w:sz w:val="28"/>
          <w:szCs w:val="28"/>
        </w:rPr>
        <w:t xml:space="preserve"> </w:t>
      </w:r>
      <w:r w:rsidR="009162E3" w:rsidRPr="00E10FF7">
        <w:rPr>
          <w:b/>
          <w:color w:val="000000" w:themeColor="text1"/>
          <w:sz w:val="28"/>
          <w:szCs w:val="28"/>
        </w:rPr>
        <w:t xml:space="preserve">du </w:t>
      </w:r>
      <w:r w:rsidR="007A152A" w:rsidRPr="007A152A">
        <w:rPr>
          <w:b/>
          <w:color w:val="7030A0"/>
          <w:sz w:val="28"/>
          <w:szCs w:val="28"/>
        </w:rPr>
        <w:t>secondaire</w:t>
      </w:r>
    </w:p>
    <w:p w:rsidR="00851361" w:rsidRPr="00AE3DE6" w:rsidRDefault="005B652A" w:rsidP="00FB6287">
      <w:pPr>
        <w:pStyle w:val="En-tte"/>
        <w:spacing w:before="40"/>
        <w:rPr>
          <w:rFonts w:ascii="Berlin Sans FB" w:hAnsi="Berlin Sans FB"/>
          <w:color w:val="000000" w:themeColor="text1"/>
        </w:rPr>
      </w:pPr>
      <w:r w:rsidRPr="00CA10F2">
        <w:rPr>
          <w:rFonts w:ascii="Century Gothic" w:hAnsi="Century Gothic"/>
          <w:b/>
          <w:color w:val="7030A0"/>
          <w:sz w:val="28"/>
        </w:rPr>
        <w:t>C</w:t>
      </w:r>
      <w:r w:rsidR="00985DEF">
        <w:rPr>
          <w:rFonts w:ascii="Century Gothic" w:hAnsi="Century Gothic"/>
          <w:b/>
          <w:color w:val="7030A0"/>
          <w:sz w:val="28"/>
        </w:rPr>
        <w:t>3</w:t>
      </w:r>
      <w:r w:rsidR="007E1F7C" w:rsidRPr="007E1F7C">
        <w:rPr>
          <w:rFonts w:ascii="Berlin Sans FB" w:hAnsi="Berlin Sans FB"/>
          <w:color w:val="000000" w:themeColor="text1"/>
        </w:rPr>
        <w:t xml:space="preserve"> </w:t>
      </w:r>
      <w:r w:rsidR="00985DEF" w:rsidRPr="00985DEF">
        <w:rPr>
          <w:rFonts w:ascii="Arial Rounded MT Bold" w:hAnsi="Arial Rounded MT Bold"/>
          <w:bCs/>
          <w:i/>
          <w:smallCaps/>
          <w:color w:val="404040" w:themeColor="text1" w:themeTint="BF"/>
          <w:sz w:val="20"/>
          <w:szCs w:val="20"/>
        </w:rPr>
        <w:t>Apprécier des œuvres d’art et des objets culturels du patrimoine artistique, des images personnelles et des images médiatiques</w:t>
      </w:r>
      <w:r w:rsidR="00985DEF">
        <w:rPr>
          <w:rFonts w:ascii="Berlin Sans FB" w:hAnsi="Berlin Sans FB"/>
          <w:color w:val="000000" w:themeColor="text1"/>
        </w:rPr>
        <w:t xml:space="preserve"> </w:t>
      </w:r>
    </w:p>
    <w:p w:rsidR="006B2DF7" w:rsidRDefault="00DA27EB" w:rsidP="00851361">
      <w:pPr>
        <w:pStyle w:val="En-tte"/>
      </w:pPr>
      <w:r w:rsidRPr="00DA27EB">
        <w:rPr>
          <w:b/>
        </w:rPr>
        <w:t>Les critères d’évaluation ne change</w:t>
      </w:r>
      <w:r w:rsidR="00EF3669">
        <w:rPr>
          <w:b/>
        </w:rPr>
        <w:t>nt</w:t>
      </w:r>
      <w:r w:rsidRPr="00DA27EB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E702B2">
        <w:trPr>
          <w:trHeight w:val="360"/>
          <w:tblHeader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C761E3" w:rsidRPr="00B12E46" w:rsidTr="00C874D1">
        <w:tc>
          <w:tcPr>
            <w:tcW w:w="3168" w:type="dxa"/>
            <w:vMerge w:val="restart"/>
          </w:tcPr>
          <w:p w:rsidR="00C761E3" w:rsidRPr="00E13A95" w:rsidRDefault="00C761E3" w:rsidP="00E13A95">
            <w:pPr>
              <w:spacing w:after="40" w:line="240" w:lineRule="auto"/>
              <w:rPr>
                <w:b/>
              </w:rPr>
            </w:pPr>
            <w:r w:rsidRPr="00E13A95">
              <w:rPr>
                <w:b/>
              </w:rPr>
              <w:t>Maîtrise des connaissances ciblées par la progression des apprentissages</w:t>
            </w:r>
            <w:r>
              <w:rPr>
                <w:b/>
              </w:rPr>
              <w:t> :</w:t>
            </w:r>
          </w:p>
          <w:p w:rsidR="00572ACD" w:rsidRPr="00572ACD" w:rsidRDefault="00572ACD" w:rsidP="001249D2">
            <w:pPr>
              <w:spacing w:before="120" w:after="120" w:line="240" w:lineRule="auto"/>
              <w:rPr>
                <w:i/>
                <w:sz w:val="14"/>
                <w:szCs w:val="14"/>
              </w:rPr>
            </w:pPr>
            <w:r w:rsidRPr="00572ACD">
              <w:rPr>
                <w:b/>
                <w:i/>
                <w:sz w:val="14"/>
                <w:szCs w:val="14"/>
              </w:rPr>
              <w:t>1</w:t>
            </w:r>
            <w:r w:rsidRPr="00572ACD">
              <w:rPr>
                <w:b/>
                <w:i/>
                <w:sz w:val="14"/>
                <w:szCs w:val="14"/>
                <w:vertAlign w:val="superscript"/>
              </w:rPr>
              <w:t>er</w:t>
            </w:r>
            <w:r w:rsidRPr="00572ACD">
              <w:rPr>
                <w:b/>
                <w:i/>
                <w:sz w:val="14"/>
                <w:szCs w:val="14"/>
              </w:rPr>
              <w:t xml:space="preserve"> cycle</w:t>
            </w:r>
            <w:r w:rsidR="00793E23">
              <w:rPr>
                <w:b/>
                <w:i/>
                <w:sz w:val="14"/>
                <w:szCs w:val="14"/>
              </w:rPr>
              <w:br/>
            </w:r>
            <w:r w:rsidRPr="00572ACD">
              <w:rPr>
                <w:b/>
                <w:i/>
                <w:sz w:val="14"/>
                <w:szCs w:val="14"/>
              </w:rPr>
              <w:t xml:space="preserve"> </w:t>
            </w:r>
            <w:r w:rsidRPr="00572ACD">
              <w:rPr>
                <w:i/>
                <w:sz w:val="14"/>
                <w:szCs w:val="14"/>
              </w:rPr>
              <w:t>(</w:t>
            </w:r>
            <w:r w:rsidR="00C761E3" w:rsidRPr="00572ACD">
              <w:rPr>
                <w:i/>
                <w:sz w:val="14"/>
                <w:szCs w:val="14"/>
              </w:rPr>
              <w:t>L’élève est en mesure d’identifier</w:t>
            </w:r>
            <w:r w:rsidRPr="00572ACD">
              <w:rPr>
                <w:i/>
                <w:sz w:val="14"/>
                <w:szCs w:val="14"/>
              </w:rPr>
              <w:t xml:space="preserve">) </w:t>
            </w:r>
            <w:r w:rsidR="00C761E3" w:rsidRPr="00572ACD">
              <w:rPr>
                <w:i/>
                <w:sz w:val="14"/>
                <w:szCs w:val="14"/>
              </w:rPr>
              <w:t xml:space="preserve">ou </w:t>
            </w:r>
          </w:p>
          <w:p w:rsidR="00C761E3" w:rsidRPr="002D5A34" w:rsidRDefault="00572ACD" w:rsidP="001249D2">
            <w:pPr>
              <w:spacing w:before="120" w:after="120" w:line="240" w:lineRule="auto"/>
              <w:rPr>
                <w:i/>
                <w:sz w:val="14"/>
                <w:szCs w:val="14"/>
              </w:rPr>
            </w:pPr>
            <w:r w:rsidRPr="00572ACD">
              <w:rPr>
                <w:b/>
                <w:i/>
                <w:sz w:val="14"/>
                <w:szCs w:val="14"/>
              </w:rPr>
              <w:t>2</w:t>
            </w:r>
            <w:r w:rsidRPr="00572ACD">
              <w:rPr>
                <w:b/>
                <w:i/>
                <w:sz w:val="14"/>
                <w:szCs w:val="14"/>
                <w:vertAlign w:val="superscript"/>
              </w:rPr>
              <w:t>e</w:t>
            </w:r>
            <w:r w:rsidRPr="00572ACD">
              <w:rPr>
                <w:b/>
                <w:i/>
                <w:sz w:val="14"/>
                <w:szCs w:val="14"/>
              </w:rPr>
              <w:t> cycle</w:t>
            </w:r>
            <w:r w:rsidR="00793E23">
              <w:rPr>
                <w:b/>
                <w:i/>
                <w:sz w:val="14"/>
                <w:szCs w:val="14"/>
              </w:rPr>
              <w:br/>
            </w:r>
            <w:r w:rsidRPr="00572ACD">
              <w:rPr>
                <w:b/>
                <w:i/>
                <w:sz w:val="14"/>
                <w:szCs w:val="14"/>
              </w:rPr>
              <w:t xml:space="preserve"> </w:t>
            </w:r>
            <w:r w:rsidRPr="00572ACD">
              <w:rPr>
                <w:i/>
                <w:sz w:val="14"/>
                <w:szCs w:val="14"/>
              </w:rPr>
              <w:t>(L’élève d</w:t>
            </w:r>
            <w:r w:rsidR="00C761E3" w:rsidRPr="00572ACD">
              <w:rPr>
                <w:i/>
                <w:sz w:val="14"/>
                <w:szCs w:val="14"/>
              </w:rPr>
              <w:t>ifférencie</w:t>
            </w:r>
            <w:r w:rsidRPr="00572ACD">
              <w:rPr>
                <w:i/>
                <w:sz w:val="14"/>
                <w:szCs w:val="14"/>
              </w:rPr>
              <w:t xml:space="preserve"> </w:t>
            </w:r>
            <w:r w:rsidR="00C761E3" w:rsidRPr="00572ACD">
              <w:rPr>
                <w:i/>
                <w:sz w:val="14"/>
                <w:szCs w:val="14"/>
              </w:rPr>
              <w:t>les connaissances ciblées</w:t>
            </w:r>
            <w:r w:rsidRPr="00572ACD">
              <w:rPr>
                <w:i/>
                <w:sz w:val="14"/>
                <w:szCs w:val="14"/>
              </w:rPr>
              <w:t>)</w:t>
            </w:r>
          </w:p>
          <w:p w:rsidR="00572ACD" w:rsidRPr="00E13A95" w:rsidRDefault="00C761E3" w:rsidP="00572ACD">
            <w:pPr>
              <w:rPr>
                <w:sz w:val="15"/>
                <w:szCs w:val="15"/>
              </w:rPr>
            </w:pPr>
            <w:r w:rsidRPr="00572ACD">
              <w:rPr>
                <w:rFonts w:cs="Arial"/>
                <w:b/>
                <w:sz w:val="14"/>
                <w:szCs w:val="14"/>
              </w:rPr>
              <w:t>(voir la section connaissances de la progression des apprentissages)</w:t>
            </w:r>
          </w:p>
          <w:p w:rsidR="00572ACD" w:rsidRPr="00E13A95" w:rsidRDefault="00572ACD" w:rsidP="00572ACD">
            <w:pPr>
              <w:rPr>
                <w:sz w:val="15"/>
                <w:szCs w:val="15"/>
              </w:rPr>
            </w:pPr>
          </w:p>
        </w:tc>
        <w:tc>
          <w:tcPr>
            <w:tcW w:w="2183" w:type="dxa"/>
          </w:tcPr>
          <w:p w:rsidR="00C761E3" w:rsidRPr="00C761E3" w:rsidRDefault="00C761E3" w:rsidP="00C761E3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1</w:t>
            </w:r>
            <w:r w:rsidRPr="004769B3">
              <w:rPr>
                <w:b/>
                <w:sz w:val="19"/>
                <w:szCs w:val="19"/>
                <w:vertAlign w:val="superscript"/>
              </w:rPr>
              <w:t>er</w:t>
            </w:r>
            <w:r w:rsidRPr="00215C13">
              <w:rPr>
                <w:b/>
                <w:sz w:val="19"/>
                <w:szCs w:val="19"/>
              </w:rPr>
              <w:t xml:space="preserve"> cycle :</w:t>
            </w:r>
            <w:r w:rsidRPr="00C761E3">
              <w:rPr>
                <w:sz w:val="19"/>
                <w:szCs w:val="19"/>
              </w:rPr>
              <w:t xml:space="preserve"> L’élève identifie tous les éléments de l’œuvre en lien avec les connaissances ciblées.</w:t>
            </w:r>
          </w:p>
        </w:tc>
        <w:tc>
          <w:tcPr>
            <w:tcW w:w="2183" w:type="dxa"/>
          </w:tcPr>
          <w:p w:rsidR="00C761E3" w:rsidRPr="00C761E3" w:rsidRDefault="00C761E3" w:rsidP="00C761E3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1</w:t>
            </w:r>
            <w:r w:rsidRPr="004769B3">
              <w:rPr>
                <w:b/>
                <w:sz w:val="19"/>
                <w:szCs w:val="19"/>
                <w:vertAlign w:val="superscript"/>
              </w:rPr>
              <w:t>er</w:t>
            </w:r>
            <w:r w:rsidRPr="00215C13">
              <w:rPr>
                <w:b/>
                <w:sz w:val="19"/>
                <w:szCs w:val="19"/>
              </w:rPr>
              <w:t xml:space="preserve"> cycle :</w:t>
            </w:r>
            <w:r w:rsidRPr="00C761E3">
              <w:rPr>
                <w:sz w:val="19"/>
                <w:szCs w:val="19"/>
              </w:rPr>
              <w:t xml:space="preserve"> L’élève identifie la plupart des  éléments de l’œuvre en lien avec les connaissances ciblées.</w:t>
            </w:r>
          </w:p>
        </w:tc>
        <w:tc>
          <w:tcPr>
            <w:tcW w:w="2183" w:type="dxa"/>
          </w:tcPr>
          <w:p w:rsidR="00C761E3" w:rsidRPr="00C761E3" w:rsidRDefault="00C761E3" w:rsidP="00C761E3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1</w:t>
            </w:r>
            <w:r w:rsidRPr="004769B3">
              <w:rPr>
                <w:b/>
                <w:sz w:val="19"/>
                <w:szCs w:val="19"/>
                <w:vertAlign w:val="superscript"/>
              </w:rPr>
              <w:t xml:space="preserve">er </w:t>
            </w:r>
            <w:r w:rsidRPr="00215C13">
              <w:rPr>
                <w:b/>
                <w:sz w:val="19"/>
                <w:szCs w:val="19"/>
              </w:rPr>
              <w:t>cycle :</w:t>
            </w:r>
            <w:r w:rsidRPr="00C761E3">
              <w:rPr>
                <w:sz w:val="19"/>
                <w:szCs w:val="19"/>
              </w:rPr>
              <w:t xml:space="preserve"> L’élève identifie quelques éléments de l’œuvre en lien avec les connaissances ciblées.</w:t>
            </w:r>
          </w:p>
          <w:p w:rsidR="00C761E3" w:rsidRPr="00C761E3" w:rsidRDefault="00C761E3" w:rsidP="00C761E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84" w:type="dxa"/>
          </w:tcPr>
          <w:p w:rsidR="00C761E3" w:rsidRPr="00C761E3" w:rsidRDefault="00C761E3" w:rsidP="00C761E3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1</w:t>
            </w:r>
            <w:r w:rsidRPr="004769B3">
              <w:rPr>
                <w:b/>
                <w:sz w:val="19"/>
                <w:szCs w:val="19"/>
                <w:vertAlign w:val="superscript"/>
              </w:rPr>
              <w:t xml:space="preserve">er </w:t>
            </w:r>
            <w:r w:rsidRPr="00215C13">
              <w:rPr>
                <w:b/>
                <w:sz w:val="19"/>
                <w:szCs w:val="19"/>
              </w:rPr>
              <w:t>cycle :</w:t>
            </w:r>
            <w:r w:rsidRPr="00C761E3">
              <w:rPr>
                <w:sz w:val="19"/>
                <w:szCs w:val="19"/>
              </w:rPr>
              <w:t xml:space="preserve"> L’élève identifie peu d’éléments de l’œuvre en lien avec les connaissances ciblées.</w:t>
            </w:r>
          </w:p>
        </w:tc>
        <w:tc>
          <w:tcPr>
            <w:tcW w:w="2184" w:type="dxa"/>
          </w:tcPr>
          <w:p w:rsidR="00C761E3" w:rsidRPr="00C761E3" w:rsidRDefault="00C761E3" w:rsidP="00C761E3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1</w:t>
            </w:r>
            <w:r w:rsidRPr="004769B3">
              <w:rPr>
                <w:b/>
                <w:sz w:val="19"/>
                <w:szCs w:val="19"/>
                <w:vertAlign w:val="superscript"/>
              </w:rPr>
              <w:t>er</w:t>
            </w:r>
            <w:r w:rsidRPr="00215C13">
              <w:rPr>
                <w:b/>
                <w:sz w:val="19"/>
                <w:szCs w:val="19"/>
              </w:rPr>
              <w:t xml:space="preserve"> cycle :</w:t>
            </w:r>
            <w:r w:rsidRPr="00C761E3">
              <w:rPr>
                <w:sz w:val="19"/>
                <w:szCs w:val="19"/>
              </w:rPr>
              <w:t xml:space="preserve"> L’élève n’identifie aucun élément en lien avec l’œuvre. </w:t>
            </w:r>
          </w:p>
          <w:p w:rsidR="00C761E3" w:rsidRPr="00C761E3" w:rsidRDefault="00C761E3" w:rsidP="00C761E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761E3" w:rsidRPr="00B12E46" w:rsidTr="00C5596C"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C761E3" w:rsidRPr="00C33661" w:rsidRDefault="00C761E3" w:rsidP="002D5A34">
            <w:pPr>
              <w:pStyle w:val="Paragraphedeliste"/>
              <w:spacing w:before="40" w:after="0" w:line="240" w:lineRule="auto"/>
              <w:ind w:left="284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761E3" w:rsidRPr="00C761E3" w:rsidRDefault="00C761E3" w:rsidP="00C761E3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2</w:t>
            </w:r>
            <w:r w:rsidRPr="004769B3">
              <w:rPr>
                <w:b/>
                <w:sz w:val="19"/>
                <w:szCs w:val="19"/>
                <w:vertAlign w:val="superscript"/>
              </w:rPr>
              <w:t>e</w:t>
            </w:r>
            <w:r w:rsidRPr="00215C13">
              <w:rPr>
                <w:b/>
                <w:sz w:val="19"/>
                <w:szCs w:val="19"/>
              </w:rPr>
              <w:t xml:space="preserve"> cycle : </w:t>
            </w:r>
            <w:r w:rsidRPr="00C761E3">
              <w:rPr>
                <w:sz w:val="19"/>
                <w:szCs w:val="19"/>
              </w:rPr>
              <w:t>L’élève différencie tous les éléments de l’œuvre en lien avec les connaissances ciblées.</w:t>
            </w:r>
          </w:p>
        </w:tc>
        <w:tc>
          <w:tcPr>
            <w:tcW w:w="2183" w:type="dxa"/>
          </w:tcPr>
          <w:p w:rsidR="00C761E3" w:rsidRPr="00C761E3" w:rsidRDefault="00C761E3" w:rsidP="00C761E3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2</w:t>
            </w:r>
            <w:r w:rsidRPr="004769B3">
              <w:rPr>
                <w:b/>
                <w:sz w:val="19"/>
                <w:szCs w:val="19"/>
                <w:vertAlign w:val="superscript"/>
              </w:rPr>
              <w:t>e</w:t>
            </w:r>
            <w:r w:rsidRPr="00215C13">
              <w:rPr>
                <w:b/>
                <w:sz w:val="19"/>
                <w:szCs w:val="19"/>
              </w:rPr>
              <w:t xml:space="preserve"> cycle :</w:t>
            </w:r>
            <w:r w:rsidRPr="00C761E3">
              <w:rPr>
                <w:sz w:val="19"/>
                <w:szCs w:val="19"/>
              </w:rPr>
              <w:t xml:space="preserve"> L’élève différencie la plupart des éléments de l’œuvre en lien avec les connaissances ciblées.</w:t>
            </w:r>
          </w:p>
        </w:tc>
        <w:tc>
          <w:tcPr>
            <w:tcW w:w="2183" w:type="dxa"/>
          </w:tcPr>
          <w:p w:rsidR="00C761E3" w:rsidRPr="00C761E3" w:rsidRDefault="00C761E3" w:rsidP="00C761E3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2</w:t>
            </w:r>
            <w:r w:rsidRPr="004769B3">
              <w:rPr>
                <w:b/>
                <w:sz w:val="19"/>
                <w:szCs w:val="19"/>
                <w:vertAlign w:val="superscript"/>
              </w:rPr>
              <w:t>e</w:t>
            </w:r>
            <w:r w:rsidRPr="00215C13">
              <w:rPr>
                <w:b/>
                <w:sz w:val="19"/>
                <w:szCs w:val="19"/>
              </w:rPr>
              <w:t xml:space="preserve"> cycle :</w:t>
            </w:r>
            <w:r w:rsidRPr="00C761E3">
              <w:rPr>
                <w:sz w:val="19"/>
                <w:szCs w:val="19"/>
              </w:rPr>
              <w:t xml:space="preserve"> L’élève différencie quelques éléments de l’œuvre en lien avec les connaissances ciblées</w:t>
            </w:r>
            <w:r w:rsidR="009F6CF6">
              <w:rPr>
                <w:sz w:val="19"/>
                <w:szCs w:val="19"/>
              </w:rPr>
              <w:t>.</w:t>
            </w:r>
          </w:p>
        </w:tc>
        <w:tc>
          <w:tcPr>
            <w:tcW w:w="2184" w:type="dxa"/>
          </w:tcPr>
          <w:p w:rsidR="00C761E3" w:rsidRPr="00C761E3" w:rsidRDefault="00C761E3" w:rsidP="00C761E3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2</w:t>
            </w:r>
            <w:r w:rsidRPr="004769B3">
              <w:rPr>
                <w:b/>
                <w:sz w:val="19"/>
                <w:szCs w:val="19"/>
                <w:vertAlign w:val="superscript"/>
              </w:rPr>
              <w:t>e</w:t>
            </w:r>
            <w:r w:rsidRPr="00215C13">
              <w:rPr>
                <w:b/>
                <w:sz w:val="19"/>
                <w:szCs w:val="19"/>
              </w:rPr>
              <w:t xml:space="preserve"> cycle :</w:t>
            </w:r>
            <w:r w:rsidRPr="00C761E3">
              <w:rPr>
                <w:sz w:val="19"/>
                <w:szCs w:val="19"/>
              </w:rPr>
              <w:t xml:space="preserve"> L’élève différencie peu d’éléments de l’œuvre en lien avec les connaissances ciblées</w:t>
            </w:r>
            <w:r w:rsidR="009F6CF6">
              <w:rPr>
                <w:sz w:val="19"/>
                <w:szCs w:val="19"/>
              </w:rPr>
              <w:t>.</w:t>
            </w:r>
          </w:p>
        </w:tc>
        <w:tc>
          <w:tcPr>
            <w:tcW w:w="2184" w:type="dxa"/>
          </w:tcPr>
          <w:p w:rsidR="00C761E3" w:rsidRPr="00C761E3" w:rsidRDefault="00C761E3" w:rsidP="004769B3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2</w:t>
            </w:r>
            <w:r w:rsidRPr="004769B3">
              <w:rPr>
                <w:b/>
                <w:sz w:val="19"/>
                <w:szCs w:val="19"/>
                <w:vertAlign w:val="superscript"/>
              </w:rPr>
              <w:t xml:space="preserve">e </w:t>
            </w:r>
            <w:r w:rsidRPr="00215C13">
              <w:rPr>
                <w:b/>
                <w:sz w:val="19"/>
                <w:szCs w:val="19"/>
              </w:rPr>
              <w:t>cycle :</w:t>
            </w:r>
            <w:r w:rsidRPr="00C761E3">
              <w:rPr>
                <w:sz w:val="19"/>
                <w:szCs w:val="19"/>
              </w:rPr>
              <w:t xml:space="preserve"> L’élève ne différencie aucun élément en lien avec l’œuvre.</w:t>
            </w:r>
          </w:p>
        </w:tc>
      </w:tr>
      <w:tr w:rsidR="0036526C" w:rsidRPr="00B12E46" w:rsidTr="00C5596C">
        <w:tc>
          <w:tcPr>
            <w:tcW w:w="3168" w:type="dxa"/>
            <w:tcBorders>
              <w:bottom w:val="nil"/>
            </w:tcBorders>
          </w:tcPr>
          <w:p w:rsidR="0036526C" w:rsidRPr="00F17C37" w:rsidRDefault="0036526C" w:rsidP="00C761E3">
            <w:pPr>
              <w:spacing w:after="4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C761E3">
              <w:rPr>
                <w:b/>
              </w:rPr>
              <w:t>Pertinence de l’appréciation</w:t>
            </w:r>
            <w:r w:rsidR="00C761E3">
              <w:rPr>
                <w:b/>
              </w:rPr>
              <w:t> :</w:t>
            </w:r>
          </w:p>
          <w:p w:rsidR="0036526C" w:rsidRPr="00FA7E2A" w:rsidRDefault="0036526C" w:rsidP="00C761E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4"/>
                <w:szCs w:val="14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="00C761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761E3">
              <w:rPr>
                <w:i/>
                <w:sz w:val="14"/>
                <w:szCs w:val="14"/>
              </w:rPr>
              <w:t>Ap</w:t>
            </w:r>
            <w:r w:rsidRPr="00FA7E2A">
              <w:rPr>
                <w:i/>
                <w:sz w:val="14"/>
                <w:szCs w:val="14"/>
              </w:rPr>
              <w:t>préciation fondée sur des éléments pertinents :</w:t>
            </w:r>
          </w:p>
          <w:p w:rsidR="0036526C" w:rsidRPr="00C761E3" w:rsidRDefault="00C761E3" w:rsidP="00C761E3">
            <w:pPr>
              <w:pStyle w:val="Paragraphedeliste"/>
              <w:numPr>
                <w:ilvl w:val="0"/>
                <w:numId w:val="1"/>
              </w:numPr>
              <w:spacing w:before="40"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 w:rsidR="0036526C" w:rsidRPr="00C761E3">
              <w:rPr>
                <w:sz w:val="15"/>
                <w:szCs w:val="15"/>
              </w:rPr>
              <w:t>ien entre les aspects de l’œuvre et les effets ressentis</w:t>
            </w:r>
          </w:p>
          <w:p w:rsidR="0036526C" w:rsidRPr="00C761E3" w:rsidRDefault="00C761E3" w:rsidP="00C761E3">
            <w:pPr>
              <w:pStyle w:val="Paragraphedeliste"/>
              <w:numPr>
                <w:ilvl w:val="0"/>
                <w:numId w:val="1"/>
              </w:numPr>
              <w:spacing w:before="40"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 w:rsidR="0036526C" w:rsidRPr="00C761E3">
              <w:rPr>
                <w:sz w:val="15"/>
                <w:szCs w:val="15"/>
              </w:rPr>
              <w:t xml:space="preserve">ien entre des aspects de l’œuvre  et des aspects socioculturels et historiques </w:t>
            </w:r>
          </w:p>
          <w:p w:rsidR="0036526C" w:rsidRDefault="0036526C" w:rsidP="00C76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6526C" w:rsidRPr="00F17C37" w:rsidRDefault="0036526C" w:rsidP="00C76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36526C" w:rsidRPr="005F1040" w:rsidRDefault="0036526C" w:rsidP="00C761E3">
            <w:pPr>
              <w:pStyle w:val="En-tte"/>
              <w:spacing w:after="40"/>
              <w:rPr>
                <w:sz w:val="19"/>
                <w:szCs w:val="19"/>
              </w:rPr>
            </w:pPr>
            <w:r w:rsidRPr="005F1040">
              <w:rPr>
                <w:sz w:val="19"/>
                <w:szCs w:val="19"/>
              </w:rPr>
              <w:t>L’élève :</w:t>
            </w:r>
          </w:p>
          <w:p w:rsidR="0036526C" w:rsidRPr="003A36B7" w:rsidRDefault="0036526C" w:rsidP="00C761E3">
            <w:pPr>
              <w:pStyle w:val="En-tte"/>
              <w:numPr>
                <w:ilvl w:val="0"/>
                <w:numId w:val="11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3A36B7">
              <w:rPr>
                <w:sz w:val="15"/>
                <w:szCs w:val="15"/>
              </w:rPr>
              <w:t xml:space="preserve">justifie son appréciation en nommant   les aspects importants de l’œuvre en lien avec les effets ressentis; </w:t>
            </w:r>
          </w:p>
          <w:p w:rsidR="0036526C" w:rsidRPr="003A36B7" w:rsidRDefault="0036526C" w:rsidP="00C761E3">
            <w:pPr>
              <w:pStyle w:val="En-tte"/>
              <w:numPr>
                <w:ilvl w:val="0"/>
                <w:numId w:val="11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3A36B7">
              <w:rPr>
                <w:sz w:val="15"/>
                <w:szCs w:val="15"/>
              </w:rPr>
              <w:t xml:space="preserve">fait des liens entre l’œuvre et plusieurs éléments socioculturels </w:t>
            </w:r>
            <w:r w:rsidR="00C761E3" w:rsidRPr="003A36B7">
              <w:rPr>
                <w:sz w:val="15"/>
                <w:szCs w:val="15"/>
              </w:rPr>
              <w:t>et historiques;</w:t>
            </w:r>
          </w:p>
          <w:p w:rsidR="001A6E19" w:rsidRPr="005F1040" w:rsidRDefault="0036526C" w:rsidP="00C5596C">
            <w:pPr>
              <w:pStyle w:val="En-tte"/>
              <w:numPr>
                <w:ilvl w:val="0"/>
                <w:numId w:val="11"/>
              </w:numPr>
              <w:spacing w:after="40"/>
              <w:ind w:left="318" w:hanging="193"/>
              <w:rPr>
                <w:sz w:val="19"/>
                <w:szCs w:val="19"/>
              </w:rPr>
            </w:pPr>
            <w:r w:rsidRPr="003A36B7">
              <w:rPr>
                <w:sz w:val="15"/>
                <w:szCs w:val="15"/>
              </w:rPr>
              <w:t>propose une interprétation personnelle du sens de l’œuvre.</w:t>
            </w:r>
          </w:p>
        </w:tc>
        <w:tc>
          <w:tcPr>
            <w:tcW w:w="2183" w:type="dxa"/>
          </w:tcPr>
          <w:p w:rsidR="003A36B7" w:rsidRPr="005F1040" w:rsidRDefault="003A36B7" w:rsidP="003A36B7">
            <w:pPr>
              <w:pStyle w:val="En-tte"/>
              <w:spacing w:after="40"/>
              <w:rPr>
                <w:sz w:val="19"/>
                <w:szCs w:val="19"/>
              </w:rPr>
            </w:pPr>
            <w:r w:rsidRPr="005F1040">
              <w:rPr>
                <w:sz w:val="19"/>
                <w:szCs w:val="19"/>
              </w:rPr>
              <w:t>L’élève :</w:t>
            </w:r>
          </w:p>
          <w:p w:rsidR="0036526C" w:rsidRPr="003A36B7" w:rsidRDefault="0036526C" w:rsidP="003A36B7">
            <w:pPr>
              <w:pStyle w:val="En-tte"/>
              <w:numPr>
                <w:ilvl w:val="0"/>
                <w:numId w:val="11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3A36B7">
              <w:rPr>
                <w:sz w:val="15"/>
                <w:szCs w:val="15"/>
              </w:rPr>
              <w:t xml:space="preserve">justifie son appréciation en nommant   des aspects importants de l’œuvre en lien avec les effets ressentis; </w:t>
            </w:r>
          </w:p>
          <w:p w:rsidR="0036526C" w:rsidRPr="003A36B7" w:rsidRDefault="0036526C" w:rsidP="003A36B7">
            <w:pPr>
              <w:pStyle w:val="En-tte"/>
              <w:numPr>
                <w:ilvl w:val="0"/>
                <w:numId w:val="11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3A36B7">
              <w:rPr>
                <w:sz w:val="15"/>
                <w:szCs w:val="15"/>
              </w:rPr>
              <w:t xml:space="preserve">fait des liens entre l’œuvre et certains éléments socioculturels </w:t>
            </w:r>
            <w:r w:rsidR="00C761E3" w:rsidRPr="003A36B7">
              <w:rPr>
                <w:sz w:val="15"/>
                <w:szCs w:val="15"/>
              </w:rPr>
              <w:t>et historiques;</w:t>
            </w:r>
          </w:p>
          <w:p w:rsidR="0036526C" w:rsidRPr="003A36B7" w:rsidRDefault="0036526C" w:rsidP="003A36B7">
            <w:pPr>
              <w:pStyle w:val="En-tte"/>
              <w:numPr>
                <w:ilvl w:val="0"/>
                <w:numId w:val="11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3A36B7">
              <w:rPr>
                <w:sz w:val="15"/>
                <w:szCs w:val="15"/>
              </w:rPr>
              <w:t>propose une interprétation juste de l’œuvre.</w:t>
            </w:r>
          </w:p>
        </w:tc>
        <w:tc>
          <w:tcPr>
            <w:tcW w:w="2183" w:type="dxa"/>
          </w:tcPr>
          <w:p w:rsidR="0036526C" w:rsidRPr="005F1040" w:rsidRDefault="0036526C" w:rsidP="00C761E3">
            <w:pPr>
              <w:pStyle w:val="En-tte"/>
              <w:spacing w:after="40"/>
              <w:rPr>
                <w:sz w:val="19"/>
                <w:szCs w:val="19"/>
              </w:rPr>
            </w:pPr>
            <w:r w:rsidRPr="005F1040">
              <w:rPr>
                <w:sz w:val="19"/>
                <w:szCs w:val="19"/>
              </w:rPr>
              <w:t>L’élève :</w:t>
            </w:r>
          </w:p>
          <w:p w:rsidR="0036526C" w:rsidRPr="003A36B7" w:rsidRDefault="0036526C" w:rsidP="00C761E3">
            <w:pPr>
              <w:pStyle w:val="En-tte"/>
              <w:numPr>
                <w:ilvl w:val="0"/>
                <w:numId w:val="11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3A36B7">
              <w:rPr>
                <w:sz w:val="15"/>
                <w:szCs w:val="15"/>
              </w:rPr>
              <w:t>justifie son appréciation en nommant quelques aspects de l’œuvre en lien avec les effets ressentis;</w:t>
            </w:r>
          </w:p>
          <w:p w:rsidR="0036526C" w:rsidRPr="003A36B7" w:rsidRDefault="0036526C" w:rsidP="00C761E3">
            <w:pPr>
              <w:pStyle w:val="En-tte"/>
              <w:numPr>
                <w:ilvl w:val="0"/>
                <w:numId w:val="11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3A36B7">
              <w:rPr>
                <w:sz w:val="15"/>
                <w:szCs w:val="15"/>
              </w:rPr>
              <w:t xml:space="preserve">fait quelques liens avec les éléments socioculturels et historiques; </w:t>
            </w:r>
          </w:p>
          <w:p w:rsidR="0036526C" w:rsidRPr="003A36B7" w:rsidRDefault="0036526C" w:rsidP="00C761E3">
            <w:pPr>
              <w:pStyle w:val="En-tte"/>
              <w:numPr>
                <w:ilvl w:val="0"/>
                <w:numId w:val="11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3A36B7">
              <w:rPr>
                <w:sz w:val="15"/>
                <w:szCs w:val="15"/>
              </w:rPr>
              <w:t>décrit l’œuvre sommairement.</w:t>
            </w:r>
          </w:p>
          <w:p w:rsidR="0036526C" w:rsidRPr="005F1040" w:rsidRDefault="0036526C" w:rsidP="0036526C">
            <w:pPr>
              <w:pStyle w:val="En-tte"/>
              <w:ind w:left="720"/>
              <w:rPr>
                <w:b/>
                <w:sz w:val="19"/>
                <w:szCs w:val="19"/>
              </w:rPr>
            </w:pPr>
          </w:p>
        </w:tc>
        <w:tc>
          <w:tcPr>
            <w:tcW w:w="2184" w:type="dxa"/>
          </w:tcPr>
          <w:p w:rsidR="0036526C" w:rsidRPr="005F1040" w:rsidRDefault="0036526C" w:rsidP="00C761E3">
            <w:pPr>
              <w:pStyle w:val="En-tte"/>
              <w:spacing w:after="40"/>
              <w:rPr>
                <w:sz w:val="19"/>
                <w:szCs w:val="19"/>
              </w:rPr>
            </w:pPr>
            <w:r w:rsidRPr="005F1040">
              <w:rPr>
                <w:sz w:val="19"/>
                <w:szCs w:val="19"/>
              </w:rPr>
              <w:t>L’élève :</w:t>
            </w:r>
          </w:p>
          <w:p w:rsidR="0036526C" w:rsidRPr="003A36B7" w:rsidRDefault="0036526C" w:rsidP="00C761E3">
            <w:pPr>
              <w:pStyle w:val="En-tte"/>
              <w:numPr>
                <w:ilvl w:val="0"/>
                <w:numId w:val="11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3A36B7">
              <w:rPr>
                <w:sz w:val="15"/>
                <w:szCs w:val="15"/>
              </w:rPr>
              <w:t xml:space="preserve">justifie difficilement son appréciation en nommant très peu d’aspects de l’œuvre; </w:t>
            </w:r>
          </w:p>
          <w:p w:rsidR="0036526C" w:rsidRPr="003A36B7" w:rsidRDefault="0036526C" w:rsidP="00C761E3">
            <w:pPr>
              <w:pStyle w:val="En-tte"/>
              <w:numPr>
                <w:ilvl w:val="0"/>
                <w:numId w:val="11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3A36B7">
              <w:rPr>
                <w:sz w:val="15"/>
                <w:szCs w:val="15"/>
              </w:rPr>
              <w:t xml:space="preserve">fait peu de liens avec les éléments socioculturels et historiques. </w:t>
            </w:r>
          </w:p>
          <w:p w:rsidR="0036526C" w:rsidRPr="005F1040" w:rsidRDefault="0036526C" w:rsidP="0036526C">
            <w:pPr>
              <w:pStyle w:val="En-tte"/>
              <w:ind w:left="359"/>
              <w:rPr>
                <w:sz w:val="19"/>
                <w:szCs w:val="19"/>
              </w:rPr>
            </w:pPr>
          </w:p>
        </w:tc>
        <w:tc>
          <w:tcPr>
            <w:tcW w:w="2184" w:type="dxa"/>
          </w:tcPr>
          <w:p w:rsidR="0036526C" w:rsidRPr="005F1040" w:rsidRDefault="0036526C" w:rsidP="00C761E3">
            <w:pPr>
              <w:pStyle w:val="En-tte"/>
              <w:spacing w:after="40"/>
              <w:rPr>
                <w:sz w:val="19"/>
                <w:szCs w:val="19"/>
              </w:rPr>
            </w:pPr>
            <w:r w:rsidRPr="005F1040">
              <w:rPr>
                <w:sz w:val="19"/>
                <w:szCs w:val="19"/>
              </w:rPr>
              <w:t>L’élève :</w:t>
            </w:r>
          </w:p>
          <w:p w:rsidR="005F1040" w:rsidRPr="003A36B7" w:rsidRDefault="005F1040" w:rsidP="005F1040">
            <w:pPr>
              <w:pStyle w:val="En-tte"/>
              <w:numPr>
                <w:ilvl w:val="0"/>
                <w:numId w:val="11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3A36B7">
              <w:rPr>
                <w:sz w:val="15"/>
                <w:szCs w:val="15"/>
              </w:rPr>
              <w:t xml:space="preserve">nomme aucun aspect de l’œuvre; </w:t>
            </w:r>
          </w:p>
          <w:p w:rsidR="0036526C" w:rsidRPr="005F1040" w:rsidRDefault="005F1040" w:rsidP="005F1040">
            <w:pPr>
              <w:pStyle w:val="En-tte"/>
              <w:numPr>
                <w:ilvl w:val="0"/>
                <w:numId w:val="11"/>
              </w:numPr>
              <w:spacing w:after="40"/>
              <w:ind w:left="318" w:hanging="193"/>
              <w:rPr>
                <w:sz w:val="19"/>
                <w:szCs w:val="19"/>
              </w:rPr>
            </w:pPr>
            <w:r w:rsidRPr="003A36B7">
              <w:rPr>
                <w:sz w:val="15"/>
                <w:szCs w:val="15"/>
              </w:rPr>
              <w:t>ne fait aucun lien avec les éléments socioculturels et historiques.</w:t>
            </w:r>
          </w:p>
        </w:tc>
      </w:tr>
      <w:tr w:rsidR="005F1040" w:rsidRPr="00B12E46" w:rsidTr="00C5596C">
        <w:tc>
          <w:tcPr>
            <w:tcW w:w="3168" w:type="dxa"/>
            <w:tcBorders>
              <w:top w:val="nil"/>
            </w:tcBorders>
          </w:tcPr>
          <w:p w:rsidR="005F1040" w:rsidRPr="00C761E3" w:rsidRDefault="005F1040" w:rsidP="00C761E3">
            <w:pPr>
              <w:spacing w:after="40" w:line="24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14"/>
                <w:szCs w:val="14"/>
              </w:rPr>
              <w:t>U</w:t>
            </w:r>
            <w:r w:rsidRPr="005A38A2">
              <w:rPr>
                <w:i/>
                <w:sz w:val="14"/>
                <w:szCs w:val="14"/>
              </w:rPr>
              <w:t>tilisation appropriée du vocabulaire disciplinaire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5F1040" w:rsidRPr="00C5596C" w:rsidRDefault="005F1040" w:rsidP="005F1040">
            <w:pPr>
              <w:spacing w:after="0" w:line="240" w:lineRule="auto"/>
              <w:rPr>
                <w:rFonts w:ascii="Century Gothic" w:hAnsi="Century Gothic"/>
                <w:sz w:val="15"/>
                <w:szCs w:val="15"/>
              </w:rPr>
            </w:pPr>
            <w:r w:rsidRPr="00C5596C">
              <w:rPr>
                <w:sz w:val="19"/>
                <w:szCs w:val="19"/>
              </w:rPr>
              <w:t>L’élève utilise de façon judicieuse et variée  le vocabulaire disciplinaire.</w:t>
            </w:r>
          </w:p>
        </w:tc>
        <w:tc>
          <w:tcPr>
            <w:tcW w:w="2183" w:type="dxa"/>
          </w:tcPr>
          <w:p w:rsidR="005F1040" w:rsidRPr="00C5596C" w:rsidRDefault="005F1040" w:rsidP="005F1040">
            <w:pPr>
              <w:spacing w:after="0" w:line="240" w:lineRule="auto"/>
              <w:rPr>
                <w:sz w:val="19"/>
                <w:szCs w:val="19"/>
              </w:rPr>
            </w:pPr>
            <w:r w:rsidRPr="00C5596C">
              <w:rPr>
                <w:sz w:val="19"/>
                <w:szCs w:val="19"/>
              </w:rPr>
              <w:t>L’élève utilise de façon appropriée le vocabulaire disciplinaire.</w:t>
            </w:r>
          </w:p>
        </w:tc>
        <w:tc>
          <w:tcPr>
            <w:tcW w:w="2183" w:type="dxa"/>
          </w:tcPr>
          <w:p w:rsidR="005F1040" w:rsidRPr="005F1040" w:rsidRDefault="005F1040" w:rsidP="005F1040">
            <w:pPr>
              <w:spacing w:after="0" w:line="240" w:lineRule="auto"/>
              <w:rPr>
                <w:sz w:val="19"/>
                <w:szCs w:val="19"/>
              </w:rPr>
            </w:pPr>
            <w:r w:rsidRPr="005F1040">
              <w:rPr>
                <w:sz w:val="19"/>
                <w:szCs w:val="19"/>
              </w:rPr>
              <w:t>L’élève utilise quelques termes du vocabulaire disciplinaire.</w:t>
            </w:r>
          </w:p>
        </w:tc>
        <w:tc>
          <w:tcPr>
            <w:tcW w:w="2184" w:type="dxa"/>
          </w:tcPr>
          <w:p w:rsidR="005F1040" w:rsidRPr="005F1040" w:rsidRDefault="005F1040" w:rsidP="005F1040">
            <w:pPr>
              <w:spacing w:after="0" w:line="240" w:lineRule="auto"/>
              <w:rPr>
                <w:sz w:val="19"/>
                <w:szCs w:val="19"/>
              </w:rPr>
            </w:pPr>
            <w:r w:rsidRPr="005F1040">
              <w:rPr>
                <w:sz w:val="19"/>
                <w:szCs w:val="19"/>
              </w:rPr>
              <w:t>L’élève utilise de façon inappropriée le vocabulaire disciplinaire.</w:t>
            </w:r>
          </w:p>
        </w:tc>
        <w:tc>
          <w:tcPr>
            <w:tcW w:w="2184" w:type="dxa"/>
          </w:tcPr>
          <w:p w:rsidR="005F1040" w:rsidRPr="005F1040" w:rsidRDefault="005F1040" w:rsidP="005F1040">
            <w:pPr>
              <w:spacing w:after="0" w:line="240" w:lineRule="auto"/>
              <w:rPr>
                <w:sz w:val="19"/>
                <w:szCs w:val="19"/>
              </w:rPr>
            </w:pPr>
            <w:r w:rsidRPr="005F1040">
              <w:rPr>
                <w:sz w:val="19"/>
                <w:szCs w:val="19"/>
              </w:rPr>
              <w:t>L’élève n’utilise aucun terme du vocabulaire disciplinaire.</w:t>
            </w:r>
          </w:p>
        </w:tc>
      </w:tr>
    </w:tbl>
    <w:p w:rsidR="00851361" w:rsidRDefault="00851361" w:rsidP="00751F5F">
      <w:pPr>
        <w:spacing w:after="0" w:line="240" w:lineRule="auto"/>
      </w:pPr>
    </w:p>
    <w:sectPr w:rsidR="00851361" w:rsidSect="006B2DF7">
      <w:footerReference w:type="default" r:id="rId9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EB" w:rsidRDefault="00750CEB" w:rsidP="000C7F35">
      <w:pPr>
        <w:spacing w:after="0" w:line="240" w:lineRule="auto"/>
      </w:pPr>
      <w:r>
        <w:separator/>
      </w:r>
    </w:p>
  </w:endnote>
  <w:endnote w:type="continuationSeparator" w:id="0">
    <w:p w:rsidR="00750CEB" w:rsidRDefault="00750CEB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9" w:rsidRDefault="00427759" w:rsidP="00837503">
    <w:pPr>
      <w:pStyle w:val="Pieddepage"/>
      <w:spacing w:before="60"/>
      <w:rPr>
        <w:i/>
        <w:color w:val="808080" w:themeColor="background1" w:themeShade="80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</w:t>
    </w:r>
    <w:r w:rsidRPr="00B52FE2">
      <w:rPr>
        <w:color w:val="595959" w:themeColor="text1" w:themeTint="A6"/>
        <w:sz w:val="16"/>
        <w:szCs w:val="16"/>
      </w:rPr>
      <w:t>: Document MELS, 2012 adapté par les membres des tables régionales des arts de l’île de Montréal et de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E04121">
      <w:rPr>
        <w:i/>
        <w:noProof/>
        <w:color w:val="808080" w:themeColor="background1" w:themeShade="80"/>
        <w:sz w:val="16"/>
        <w:szCs w:val="16"/>
      </w:rPr>
      <w:t>Grille_AP_SEC_1e_2e_</w:t>
    </w:r>
    <w:r w:rsidR="00ED4E09">
      <w:rPr>
        <w:i/>
        <w:noProof/>
        <w:color w:val="808080" w:themeColor="background1" w:themeShade="80"/>
        <w:sz w:val="16"/>
        <w:szCs w:val="16"/>
      </w:rPr>
      <w:t>cycle_C3</w:t>
    </w:r>
    <w:r w:rsidR="00E04121">
      <w:rPr>
        <w:i/>
        <w:noProof/>
        <w:color w:val="808080" w:themeColor="background1" w:themeShade="80"/>
        <w:sz w:val="16"/>
        <w:szCs w:val="16"/>
      </w:rPr>
      <w:t>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EB" w:rsidRDefault="00750CEB" w:rsidP="000C7F35">
      <w:pPr>
        <w:spacing w:after="0" w:line="240" w:lineRule="auto"/>
      </w:pPr>
      <w:r>
        <w:separator/>
      </w:r>
    </w:p>
  </w:footnote>
  <w:footnote w:type="continuationSeparator" w:id="0">
    <w:p w:rsidR="00750CEB" w:rsidRDefault="00750CEB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B0E"/>
    <w:multiLevelType w:val="hybridMultilevel"/>
    <w:tmpl w:val="3FC025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30B4"/>
    <w:multiLevelType w:val="hybridMultilevel"/>
    <w:tmpl w:val="C2BE91E2"/>
    <w:lvl w:ilvl="0" w:tplc="16145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93C2E"/>
    <w:multiLevelType w:val="hybridMultilevel"/>
    <w:tmpl w:val="033EC2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624A2"/>
    <w:multiLevelType w:val="hybridMultilevel"/>
    <w:tmpl w:val="79D8D77A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B497F7E"/>
    <w:multiLevelType w:val="hybridMultilevel"/>
    <w:tmpl w:val="B46630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8DB"/>
    <w:multiLevelType w:val="hybridMultilevel"/>
    <w:tmpl w:val="7F0ECB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D6E63"/>
    <w:multiLevelType w:val="hybridMultilevel"/>
    <w:tmpl w:val="B76A0D34"/>
    <w:lvl w:ilvl="0" w:tplc="0A84C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C769C"/>
    <w:multiLevelType w:val="hybridMultilevel"/>
    <w:tmpl w:val="5FB89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23420"/>
    <w:rsid w:val="00026692"/>
    <w:rsid w:val="00075EB9"/>
    <w:rsid w:val="000A111E"/>
    <w:rsid w:val="000C7F35"/>
    <w:rsid w:val="000D16DB"/>
    <w:rsid w:val="000F13BC"/>
    <w:rsid w:val="001249D2"/>
    <w:rsid w:val="00162404"/>
    <w:rsid w:val="00184F30"/>
    <w:rsid w:val="001A6E19"/>
    <w:rsid w:val="001C670B"/>
    <w:rsid w:val="001D4176"/>
    <w:rsid w:val="001E6C0B"/>
    <w:rsid w:val="001E7BEE"/>
    <w:rsid w:val="00213255"/>
    <w:rsid w:val="00215346"/>
    <w:rsid w:val="00215C13"/>
    <w:rsid w:val="00236E2E"/>
    <w:rsid w:val="00241880"/>
    <w:rsid w:val="00266E51"/>
    <w:rsid w:val="00297E25"/>
    <w:rsid w:val="002C221B"/>
    <w:rsid w:val="002C31D2"/>
    <w:rsid w:val="002D045E"/>
    <w:rsid w:val="002D5A34"/>
    <w:rsid w:val="002E6D50"/>
    <w:rsid w:val="002F5CAD"/>
    <w:rsid w:val="003004A2"/>
    <w:rsid w:val="00325C00"/>
    <w:rsid w:val="0036526C"/>
    <w:rsid w:val="0036761D"/>
    <w:rsid w:val="003A36B7"/>
    <w:rsid w:val="003E62F5"/>
    <w:rsid w:val="00422854"/>
    <w:rsid w:val="00427759"/>
    <w:rsid w:val="004366A4"/>
    <w:rsid w:val="004522AE"/>
    <w:rsid w:val="004769B3"/>
    <w:rsid w:val="00480108"/>
    <w:rsid w:val="0048065F"/>
    <w:rsid w:val="0048184E"/>
    <w:rsid w:val="00492872"/>
    <w:rsid w:val="004B0BD5"/>
    <w:rsid w:val="004F2CAE"/>
    <w:rsid w:val="00512FE8"/>
    <w:rsid w:val="00522E59"/>
    <w:rsid w:val="00561458"/>
    <w:rsid w:val="00572ACD"/>
    <w:rsid w:val="0057430F"/>
    <w:rsid w:val="005948F0"/>
    <w:rsid w:val="005B652A"/>
    <w:rsid w:val="005C5663"/>
    <w:rsid w:val="005F1040"/>
    <w:rsid w:val="006119D0"/>
    <w:rsid w:val="00624A62"/>
    <w:rsid w:val="006515AE"/>
    <w:rsid w:val="00651EEC"/>
    <w:rsid w:val="00653F19"/>
    <w:rsid w:val="00675249"/>
    <w:rsid w:val="0068785E"/>
    <w:rsid w:val="006B2DF7"/>
    <w:rsid w:val="006C05DE"/>
    <w:rsid w:val="00716684"/>
    <w:rsid w:val="007463BB"/>
    <w:rsid w:val="00747705"/>
    <w:rsid w:val="00750CEB"/>
    <w:rsid w:val="00751F5F"/>
    <w:rsid w:val="00776A7F"/>
    <w:rsid w:val="00783221"/>
    <w:rsid w:val="00793E23"/>
    <w:rsid w:val="007A152A"/>
    <w:rsid w:val="007B2BA2"/>
    <w:rsid w:val="007B30D0"/>
    <w:rsid w:val="007C1DAC"/>
    <w:rsid w:val="007E1F7C"/>
    <w:rsid w:val="007E6B88"/>
    <w:rsid w:val="00834AC7"/>
    <w:rsid w:val="00834EE0"/>
    <w:rsid w:val="00837503"/>
    <w:rsid w:val="00851361"/>
    <w:rsid w:val="008615E0"/>
    <w:rsid w:val="00861EF4"/>
    <w:rsid w:val="008C346A"/>
    <w:rsid w:val="008E16E2"/>
    <w:rsid w:val="008E42FE"/>
    <w:rsid w:val="008F042C"/>
    <w:rsid w:val="009162E3"/>
    <w:rsid w:val="00932F10"/>
    <w:rsid w:val="00950253"/>
    <w:rsid w:val="009649FA"/>
    <w:rsid w:val="00976C7F"/>
    <w:rsid w:val="00981F3C"/>
    <w:rsid w:val="0098411E"/>
    <w:rsid w:val="00985DEF"/>
    <w:rsid w:val="009A0032"/>
    <w:rsid w:val="009A47B6"/>
    <w:rsid w:val="009F6CF6"/>
    <w:rsid w:val="00A17C22"/>
    <w:rsid w:val="00A43219"/>
    <w:rsid w:val="00A47BE9"/>
    <w:rsid w:val="00A80BC8"/>
    <w:rsid w:val="00AE3DE6"/>
    <w:rsid w:val="00AE624F"/>
    <w:rsid w:val="00B12E46"/>
    <w:rsid w:val="00B2782E"/>
    <w:rsid w:val="00B510B0"/>
    <w:rsid w:val="00B52FE2"/>
    <w:rsid w:val="00BB0FF9"/>
    <w:rsid w:val="00BB1EA8"/>
    <w:rsid w:val="00BD59C3"/>
    <w:rsid w:val="00BF56A3"/>
    <w:rsid w:val="00C130BC"/>
    <w:rsid w:val="00C14B51"/>
    <w:rsid w:val="00C24CEE"/>
    <w:rsid w:val="00C347AC"/>
    <w:rsid w:val="00C37DF1"/>
    <w:rsid w:val="00C5596C"/>
    <w:rsid w:val="00C64D88"/>
    <w:rsid w:val="00C761E3"/>
    <w:rsid w:val="00C831E6"/>
    <w:rsid w:val="00C907CB"/>
    <w:rsid w:val="00CC4FFC"/>
    <w:rsid w:val="00D10BD5"/>
    <w:rsid w:val="00D30FF6"/>
    <w:rsid w:val="00D32EDB"/>
    <w:rsid w:val="00D34510"/>
    <w:rsid w:val="00D6383D"/>
    <w:rsid w:val="00D82767"/>
    <w:rsid w:val="00DA27EB"/>
    <w:rsid w:val="00E04121"/>
    <w:rsid w:val="00E10FF7"/>
    <w:rsid w:val="00E13A95"/>
    <w:rsid w:val="00E21C93"/>
    <w:rsid w:val="00E702B2"/>
    <w:rsid w:val="00E71BE7"/>
    <w:rsid w:val="00E9541E"/>
    <w:rsid w:val="00ED477C"/>
    <w:rsid w:val="00ED4E09"/>
    <w:rsid w:val="00EF3669"/>
    <w:rsid w:val="00F057A4"/>
    <w:rsid w:val="00F17A10"/>
    <w:rsid w:val="00F4346D"/>
    <w:rsid w:val="00F701EA"/>
    <w:rsid w:val="00F82D14"/>
    <w:rsid w:val="00F9379B"/>
    <w:rsid w:val="00F967F4"/>
    <w:rsid w:val="00FA24C9"/>
    <w:rsid w:val="00FB628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character" w:styleId="Numrodepage">
    <w:name w:val="page number"/>
    <w:basedOn w:val="Policepardfaut"/>
    <w:rsid w:val="007A152A"/>
  </w:style>
  <w:style w:type="paragraph" w:styleId="Titre">
    <w:name w:val="Title"/>
    <w:basedOn w:val="Normal"/>
    <w:link w:val="TitreCar"/>
    <w:qFormat/>
    <w:rsid w:val="00E13A95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13A95"/>
    <w:rPr>
      <w:rFonts w:ascii="Tahoma" w:eastAsia="Times New Roman" w:hAnsi="Tahoma" w:cs="Tahoma"/>
      <w:b/>
      <w:bCs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character" w:styleId="Numrodepage">
    <w:name w:val="page number"/>
    <w:basedOn w:val="Policepardfaut"/>
    <w:rsid w:val="007A152A"/>
  </w:style>
  <w:style w:type="paragraph" w:styleId="Titre">
    <w:name w:val="Title"/>
    <w:basedOn w:val="Normal"/>
    <w:link w:val="TitreCar"/>
    <w:qFormat/>
    <w:rsid w:val="00E13A95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13A95"/>
    <w:rPr>
      <w:rFonts w:ascii="Tahoma" w:eastAsia="Times New Roman" w:hAnsi="Tahoma" w:cs="Tahoma"/>
      <w:b/>
      <w:b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4A34-7DC8-4A7A-8BF0-0A56D4C1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24</cp:revision>
  <cp:lastPrinted>2014-06-26T15:42:00Z</cp:lastPrinted>
  <dcterms:created xsi:type="dcterms:W3CDTF">2014-06-25T18:53:00Z</dcterms:created>
  <dcterms:modified xsi:type="dcterms:W3CDTF">2014-06-27T20:00:00Z</dcterms:modified>
</cp:coreProperties>
</file>