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1E45" w14:textId="77777777" w:rsidR="00B85025" w:rsidRPr="00844AC0" w:rsidRDefault="00B85025">
      <w:pPr>
        <w:rPr>
          <w:rFonts w:ascii="Arial" w:hAnsi="Arial" w:cs="Arial"/>
        </w:rPr>
      </w:pPr>
      <w:bookmarkStart w:id="0" w:name="_GoBack"/>
      <w:bookmarkEnd w:id="0"/>
    </w:p>
    <w:p w14:paraId="05E1E30F" w14:textId="77777777" w:rsidR="00FB1F59" w:rsidRPr="00844AC0" w:rsidRDefault="00FB1F59" w:rsidP="00FB1F59">
      <w:pPr>
        <w:widowControl w:val="0"/>
        <w:suppressAutoHyphens/>
        <w:ind w:left="3240" w:firstLine="360"/>
        <w:rPr>
          <w:rFonts w:ascii="Arial" w:eastAsia="Arial Unicode MS" w:hAnsi="Arial" w:cs="Arial"/>
          <w:b/>
          <w:kern w:val="1"/>
          <w:lang w:eastAsia="fr-CA"/>
        </w:rPr>
      </w:pPr>
      <w:r w:rsidRPr="00844AC0">
        <w:rPr>
          <w:rFonts w:ascii="Arial" w:eastAsia="Arial Unicode MS" w:hAnsi="Arial" w:cs="Arial"/>
          <w:b/>
          <w:kern w:val="1"/>
          <w:lang w:eastAsia="fr-CA"/>
        </w:rPr>
        <w:t>Tableau de classification des comportements problématiques</w:t>
      </w:r>
    </w:p>
    <w:tbl>
      <w:tblPr>
        <w:tblpPr w:leftFromText="141" w:rightFromText="141" w:vertAnchor="text" w:horzAnchor="margin" w:tblpXSpec="center" w:tblpY="99"/>
        <w:tblW w:w="148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94"/>
        <w:gridCol w:w="4110"/>
        <w:gridCol w:w="3685"/>
        <w:gridCol w:w="3495"/>
      </w:tblGrid>
      <w:tr w:rsidR="00313980" w:rsidRPr="00844AC0" w14:paraId="5874DB6E" w14:textId="77777777" w:rsidTr="00D2265F">
        <w:tc>
          <w:tcPr>
            <w:tcW w:w="7704" w:type="dxa"/>
            <w:gridSpan w:val="2"/>
          </w:tcPr>
          <w:p w14:paraId="3C014A01" w14:textId="10436B1B" w:rsidR="00313980" w:rsidRPr="00844AC0" w:rsidRDefault="00313980" w:rsidP="00056AA2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kern w:val="1"/>
                <w:sz w:val="22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b/>
                <w:kern w:val="1"/>
                <w:sz w:val="22"/>
                <w:szCs w:val="22"/>
                <w:lang w:eastAsia="fr-CA"/>
              </w:rPr>
              <w:t>Écarts de conduite mineurs</w:t>
            </w:r>
          </w:p>
        </w:tc>
        <w:tc>
          <w:tcPr>
            <w:tcW w:w="7180" w:type="dxa"/>
            <w:gridSpan w:val="2"/>
          </w:tcPr>
          <w:p w14:paraId="6E0BDEF2" w14:textId="2899312A" w:rsidR="00313980" w:rsidRPr="00844AC0" w:rsidRDefault="00313980" w:rsidP="00056AA2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kern w:val="1"/>
                <w:sz w:val="22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b/>
                <w:kern w:val="1"/>
                <w:sz w:val="22"/>
                <w:szCs w:val="22"/>
                <w:lang w:eastAsia="fr-CA"/>
              </w:rPr>
              <w:t>Écarts de conduite majeurs</w:t>
            </w:r>
          </w:p>
        </w:tc>
      </w:tr>
      <w:tr w:rsidR="00313980" w:rsidRPr="00844AC0" w14:paraId="012D0675" w14:textId="77777777" w:rsidTr="00313980">
        <w:trPr>
          <w:trHeight w:val="433"/>
        </w:trPr>
        <w:tc>
          <w:tcPr>
            <w:tcW w:w="3594" w:type="dxa"/>
          </w:tcPr>
          <w:p w14:paraId="307F3B4D" w14:textId="595360B2" w:rsidR="00313980" w:rsidRPr="00844AC0" w:rsidRDefault="00313980" w:rsidP="00313980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b/>
                <w:kern w:val="1"/>
                <w:sz w:val="20"/>
                <w:szCs w:val="22"/>
                <w:lang w:eastAsia="fr-CA"/>
              </w:rPr>
              <w:t>Catégorie 1</w:t>
            </w:r>
          </w:p>
          <w:p w14:paraId="49303C5C" w14:textId="6A25617F" w:rsidR="00313980" w:rsidRPr="00844AC0" w:rsidRDefault="00313980" w:rsidP="00313980">
            <w:pPr>
              <w:widowControl w:val="0"/>
              <w:suppressAutoHyphens/>
              <w:spacing w:before="60" w:after="60"/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</w:pPr>
          </w:p>
        </w:tc>
        <w:tc>
          <w:tcPr>
            <w:tcW w:w="4110" w:type="dxa"/>
          </w:tcPr>
          <w:p w14:paraId="7A47B187" w14:textId="1CF23565" w:rsidR="00313980" w:rsidRPr="00844AC0" w:rsidRDefault="00313980" w:rsidP="00313980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b/>
                <w:kern w:val="1"/>
                <w:sz w:val="20"/>
                <w:szCs w:val="22"/>
                <w:lang w:eastAsia="fr-CA"/>
              </w:rPr>
              <w:t>Catégorie 2</w:t>
            </w:r>
          </w:p>
          <w:p w14:paraId="5A88836A" w14:textId="371A4531" w:rsidR="00313980" w:rsidRPr="00844AC0" w:rsidRDefault="00313980" w:rsidP="00313980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0"/>
                <w:szCs w:val="22"/>
                <w:lang w:eastAsia="fr-CA"/>
              </w:rPr>
            </w:pPr>
          </w:p>
        </w:tc>
        <w:tc>
          <w:tcPr>
            <w:tcW w:w="3685" w:type="dxa"/>
          </w:tcPr>
          <w:p w14:paraId="72810132" w14:textId="47C16639" w:rsidR="00313980" w:rsidRPr="00844AC0" w:rsidRDefault="00313980" w:rsidP="00313980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b/>
                <w:kern w:val="1"/>
                <w:sz w:val="20"/>
                <w:szCs w:val="22"/>
                <w:lang w:eastAsia="fr-CA"/>
              </w:rPr>
              <w:t>Catégorie 3</w:t>
            </w:r>
          </w:p>
          <w:p w14:paraId="42266C39" w14:textId="05DD2C8A" w:rsidR="00313980" w:rsidRPr="00844AC0" w:rsidRDefault="00313980" w:rsidP="00313980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0"/>
                <w:szCs w:val="22"/>
                <w:lang w:eastAsia="fr-CA"/>
              </w:rPr>
            </w:pPr>
          </w:p>
        </w:tc>
        <w:tc>
          <w:tcPr>
            <w:tcW w:w="3495" w:type="dxa"/>
          </w:tcPr>
          <w:p w14:paraId="5712A411" w14:textId="1FCB3CFD" w:rsidR="00313980" w:rsidRPr="00844AC0" w:rsidRDefault="00313980" w:rsidP="00313980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b/>
                <w:kern w:val="1"/>
                <w:sz w:val="20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b/>
                <w:kern w:val="1"/>
                <w:sz w:val="20"/>
                <w:szCs w:val="22"/>
                <w:lang w:eastAsia="fr-CA"/>
              </w:rPr>
              <w:t>Catégorie 4</w:t>
            </w:r>
          </w:p>
        </w:tc>
      </w:tr>
      <w:tr w:rsidR="00FB1F59" w:rsidRPr="00844AC0" w14:paraId="7443385A" w14:textId="77777777" w:rsidTr="00056AA2">
        <w:tc>
          <w:tcPr>
            <w:tcW w:w="3594" w:type="dxa"/>
          </w:tcPr>
          <w:p w14:paraId="1612EBFF" w14:textId="77777777" w:rsidR="00FB1F59" w:rsidRPr="00844AC0" w:rsidRDefault="00FB1F59" w:rsidP="00056AA2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  <w:t xml:space="preserve">Comportements qui nuisent personnellement à l’élève </w:t>
            </w:r>
          </w:p>
        </w:tc>
        <w:tc>
          <w:tcPr>
            <w:tcW w:w="4110" w:type="dxa"/>
          </w:tcPr>
          <w:p w14:paraId="6EF451BA" w14:textId="50F3FB8A" w:rsidR="00FB1F59" w:rsidRPr="00844AC0" w:rsidRDefault="00FB1F59" w:rsidP="00313980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  <w:t xml:space="preserve">Comportements qui nuisent </w:t>
            </w:r>
            <w:r w:rsidR="00313980" w:rsidRPr="00844AC0"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  <w:t xml:space="preserve">aux </w:t>
            </w:r>
            <w:r w:rsidRPr="00844AC0"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  <w:t>apprentissage</w:t>
            </w:r>
            <w:r w:rsidR="00313980" w:rsidRPr="00844AC0"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  <w:t>s, activités de quelques élèves</w:t>
            </w:r>
          </w:p>
        </w:tc>
        <w:tc>
          <w:tcPr>
            <w:tcW w:w="3685" w:type="dxa"/>
          </w:tcPr>
          <w:p w14:paraId="2DF04056" w14:textId="61C6A27C" w:rsidR="00FB1F59" w:rsidRPr="00844AC0" w:rsidRDefault="00FB1F59" w:rsidP="00056AA2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  <w:t>Comportements qui nuisent à l’ordre en général</w:t>
            </w:r>
            <w:r w:rsidR="00313980" w:rsidRPr="00844AC0"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  <w:t xml:space="preserve"> de l’activité</w:t>
            </w:r>
          </w:p>
        </w:tc>
        <w:tc>
          <w:tcPr>
            <w:tcW w:w="3495" w:type="dxa"/>
          </w:tcPr>
          <w:p w14:paraId="0702903D" w14:textId="77777777" w:rsidR="00FB1F59" w:rsidRPr="00844AC0" w:rsidRDefault="00FB1F59" w:rsidP="00313980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  <w:t xml:space="preserve">Comportements qui </w:t>
            </w:r>
            <w:r w:rsidR="00313980" w:rsidRPr="00844AC0"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  <w:t xml:space="preserve">sont dangereux, </w:t>
            </w:r>
            <w:r w:rsidRPr="00844AC0"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  <w:t>illégaux</w:t>
            </w:r>
            <w:r w:rsidR="00313980" w:rsidRPr="00844AC0"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  <w:t xml:space="preserve"> ou qui blessent</w:t>
            </w:r>
          </w:p>
          <w:p w14:paraId="74E0EF24" w14:textId="3360665B" w:rsidR="00253A7C" w:rsidRPr="00844AC0" w:rsidRDefault="00253A7C" w:rsidP="00313980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0"/>
                <w:szCs w:val="21"/>
                <w:lang w:eastAsia="fr-CA"/>
              </w:rPr>
              <w:t>*</w:t>
            </w:r>
            <w:r w:rsidRPr="00844AC0">
              <w:rPr>
                <w:rFonts w:ascii="Arial" w:eastAsia="Arial Unicode MS" w:hAnsi="Arial" w:cs="Arial"/>
                <w:i/>
                <w:kern w:val="1"/>
                <w:sz w:val="20"/>
                <w:szCs w:val="21"/>
                <w:lang w:eastAsia="fr-CA"/>
              </w:rPr>
              <w:t>Hors contexte de mesures contraignantes</w:t>
            </w:r>
          </w:p>
        </w:tc>
      </w:tr>
      <w:tr w:rsidR="00FB1F59" w:rsidRPr="00844AC0" w14:paraId="0C218C7F" w14:textId="77777777" w:rsidTr="00056AA2">
        <w:tc>
          <w:tcPr>
            <w:tcW w:w="3594" w:type="dxa"/>
          </w:tcPr>
          <w:p w14:paraId="46CC0AC7" w14:textId="1612A02E" w:rsidR="00FB1F59" w:rsidRPr="00844AC0" w:rsidRDefault="00FB1F5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6397CDD7" w14:textId="51C095BC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643D24F6" w14:textId="18BFDF24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3E01F87" w14:textId="18264168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0EA7F193" w14:textId="5BEB501E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6D6D862F" w14:textId="1DC19982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72AE160" w14:textId="3314EEDA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451BE5E8" w14:textId="5A4FBE69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4048A6C6" w14:textId="3E32D199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3E9FA1FD" w14:textId="0D1644B9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A573092" w14:textId="6DEF0FD4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073F1A1A" w14:textId="1AD90215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231A0AB" w14:textId="14ED8D13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849DA48" w14:textId="4447E7D4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5958A9B" w14:textId="24F326F0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F299BBB" w14:textId="1A4826E8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5D09612E" w14:textId="4BE205D1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3905F02D" w14:textId="33DBD29A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32B3923" w14:textId="7C3BA95C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7DD30BA" w14:textId="1BA2FE41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5700BD4F" w14:textId="526B544B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411FF2A9" w14:textId="2839F31E" w:rsidR="009D1789" w:rsidRPr="00844AC0" w:rsidRDefault="009D1789" w:rsidP="0003470D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9975038" w14:textId="1B118487" w:rsidR="00F1784A" w:rsidRPr="00844AC0" w:rsidRDefault="00F1784A" w:rsidP="004B584C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CC68BE3" w14:textId="77777777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AD5CD29" w14:textId="77777777" w:rsidR="00C12C35" w:rsidRPr="00844AC0" w:rsidRDefault="00FB1F59" w:rsidP="00C12C35">
            <w:pPr>
              <w:widowControl w:val="0"/>
              <w:suppressAutoHyphens/>
              <w:ind w:left="170" w:firstLine="1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Si ces comportements perdurent</w:t>
            </w:r>
            <w:r w:rsidR="009D178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malgré les diverses interventions</w:t>
            </w: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, ils peuvent </w:t>
            </w:r>
            <w:r w:rsidR="00BF658C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amener la référence à un autre intervenant dans l’école</w:t>
            </w:r>
            <w:r w:rsidR="00C12C35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.</w:t>
            </w:r>
            <w:r w:rsidR="00BF658C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</w:t>
            </w:r>
          </w:p>
          <w:p w14:paraId="27B79897" w14:textId="2175864A" w:rsidR="00C12C35" w:rsidRPr="00844AC0" w:rsidRDefault="00C12C35" w:rsidP="00C12C35">
            <w:pPr>
              <w:widowControl w:val="0"/>
              <w:suppressAutoHyphens/>
              <w:ind w:left="170" w:firstLine="1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Référer sur</w:t>
            </w:r>
            <w:r w:rsidR="00172F2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-le-</w:t>
            </w: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champ si la durée et la fréquence des interventions ont un impact sur l’ordre général de l’activité.</w:t>
            </w:r>
          </w:p>
          <w:p w14:paraId="4965983F" w14:textId="77777777" w:rsidR="00C12C35" w:rsidRPr="00844AC0" w:rsidRDefault="00C12C35" w:rsidP="00C12C35">
            <w:pPr>
              <w:widowControl w:val="0"/>
              <w:suppressAutoHyphens/>
              <w:ind w:left="170" w:firstLine="1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(L’événement doit être compilé)</w:t>
            </w:r>
          </w:p>
          <w:p w14:paraId="73EE9B7D" w14:textId="23CFED78" w:rsidR="00C12C35" w:rsidRPr="00844AC0" w:rsidRDefault="00C12C35" w:rsidP="00BF658C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4A613F6D" w14:textId="2865119C" w:rsidR="00C12C35" w:rsidRPr="00844AC0" w:rsidRDefault="00C12C35" w:rsidP="00C12C35">
            <w:pPr>
              <w:widowControl w:val="0"/>
              <w:suppressAutoHyphens/>
              <w:ind w:left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Si le comportement nuit à la réussite de l’élève au plan scolaire ou social, référer l’élève aux services complémentaires. (Informations à mettre au dossier de l’élève).  </w:t>
            </w:r>
          </w:p>
          <w:p w14:paraId="7D9F2C4E" w14:textId="2415EE4C" w:rsidR="00FB1F59" w:rsidRPr="00844AC0" w:rsidRDefault="00FB1F59" w:rsidP="00412FFC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</w:tc>
        <w:tc>
          <w:tcPr>
            <w:tcW w:w="4110" w:type="dxa"/>
          </w:tcPr>
          <w:p w14:paraId="4F1CE775" w14:textId="52D39AF4" w:rsidR="009D1789" w:rsidRPr="00844AC0" w:rsidRDefault="009D1789" w:rsidP="00A85413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487E1184" w14:textId="2772C833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9771ECC" w14:textId="69E562E1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00F4BCC" w14:textId="05DBA6D5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569BE510" w14:textId="35AF6CAE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5E92F32" w14:textId="7DC45EC9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1754C1D" w14:textId="3BF5E18E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62DAE983" w14:textId="033D3A22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5EEBE146" w14:textId="1A2E19BE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59E5A4C" w14:textId="56FB125D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8FC6441" w14:textId="059F1617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431F293A" w14:textId="1D7D6ABE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6F74B83D" w14:textId="6BCCE55B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E87D529" w14:textId="2C095E89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E7C8309" w14:textId="09BBE53C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0855F71B" w14:textId="64F58526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3A01E171" w14:textId="75326F55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AE6146E" w14:textId="57AA7FE0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42F88BE4" w14:textId="541B89A9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3F7CFE72" w14:textId="393A4464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8B556D3" w14:textId="3875D24C" w:rsidR="009D1789" w:rsidRPr="00844AC0" w:rsidRDefault="009D1789" w:rsidP="004B584C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5F62B347" w14:textId="3780974E" w:rsidR="009D1789" w:rsidRPr="00844AC0" w:rsidRDefault="009D1789" w:rsidP="0003470D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732072D" w14:textId="77777777" w:rsidR="00FB1F59" w:rsidRPr="00844AC0" w:rsidRDefault="00FB1F5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57ED2AE1" w14:textId="77777777" w:rsidR="00C12C35" w:rsidRPr="00844AC0" w:rsidRDefault="00C12C35" w:rsidP="00056AA2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3C6D28F" w14:textId="77777777" w:rsidR="00C12C35" w:rsidRPr="00844AC0" w:rsidRDefault="00C12C35" w:rsidP="00C12C35">
            <w:pPr>
              <w:widowControl w:val="0"/>
              <w:suppressAutoHyphens/>
              <w:ind w:left="170" w:firstLine="1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Si ces comportements perdurent malgré les diverses interventions, ils peuvent amener la référence à un autre intervenant dans l’école. </w:t>
            </w:r>
          </w:p>
          <w:p w14:paraId="2D889ED4" w14:textId="7E456F36" w:rsidR="00C12C35" w:rsidRPr="00844AC0" w:rsidRDefault="00C12C35" w:rsidP="00C12C35">
            <w:pPr>
              <w:widowControl w:val="0"/>
              <w:suppressAutoHyphens/>
              <w:ind w:left="170" w:firstLine="1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Référer sur</w:t>
            </w:r>
            <w:r w:rsidR="00172F2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-le-</w:t>
            </w: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champ si la durée et la fréquence des interventions ont un impact sur l’ordre général de l’activité.</w:t>
            </w:r>
          </w:p>
          <w:p w14:paraId="6D41EDA0" w14:textId="77777777" w:rsidR="00C12C35" w:rsidRPr="00844AC0" w:rsidRDefault="00C12C35" w:rsidP="00C12C35">
            <w:pPr>
              <w:widowControl w:val="0"/>
              <w:suppressAutoHyphens/>
              <w:ind w:left="170" w:firstLine="1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(L’événement doit être compilé)</w:t>
            </w:r>
          </w:p>
          <w:p w14:paraId="6DA00363" w14:textId="77777777" w:rsidR="00FB1F59" w:rsidRPr="00844AC0" w:rsidRDefault="00FB1F59" w:rsidP="00056AA2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EAECE5F" w14:textId="77777777" w:rsidR="00FB1F59" w:rsidRPr="00844AC0" w:rsidRDefault="00FB1F59" w:rsidP="00056AA2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032FF173" w14:textId="77777777" w:rsidR="00FB1F59" w:rsidRPr="00844AC0" w:rsidRDefault="00FB1F59" w:rsidP="00056AA2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614E8192" w14:textId="77777777" w:rsidR="00FB1F59" w:rsidRPr="00844AC0" w:rsidRDefault="00FB1F59" w:rsidP="00056AA2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BCDB21C" w14:textId="77777777" w:rsidR="00FB1F59" w:rsidRPr="00844AC0" w:rsidRDefault="00FB1F59" w:rsidP="00056AA2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3D368E26" w14:textId="77777777" w:rsidR="00FB1F59" w:rsidRPr="00844AC0" w:rsidRDefault="00FB1F59" w:rsidP="00056AA2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0F8278F" w14:textId="77777777" w:rsidR="00FB1F59" w:rsidRPr="00844AC0" w:rsidRDefault="00FB1F59" w:rsidP="00056AA2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B129E65" w14:textId="77777777" w:rsidR="00FB1F59" w:rsidRPr="00844AC0" w:rsidRDefault="00FB1F59" w:rsidP="00056AA2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45375DD" w14:textId="77777777" w:rsidR="00FB1F59" w:rsidRPr="00844AC0" w:rsidRDefault="00FB1F59" w:rsidP="00056AA2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60DD6BC9" w14:textId="77777777" w:rsidR="00FB1F59" w:rsidRPr="00844AC0" w:rsidRDefault="00FB1F59" w:rsidP="00056AA2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</w:tc>
        <w:tc>
          <w:tcPr>
            <w:tcW w:w="3685" w:type="dxa"/>
          </w:tcPr>
          <w:p w14:paraId="380FA676" w14:textId="1B223343" w:rsidR="00FB1F59" w:rsidRPr="00844AC0" w:rsidRDefault="003B70AC" w:rsidP="00FB1F59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lastRenderedPageBreak/>
              <w:t>Lance</w:t>
            </w:r>
            <w:r w:rsidR="008D33C7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des objets de façon non</w:t>
            </w:r>
            <w:r w:rsidR="00172F2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</w:t>
            </w:r>
            <w:r w:rsidR="008D33C7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dirigée</w:t>
            </w:r>
          </w:p>
          <w:p w14:paraId="34C0BA80" w14:textId="2F3AA3D1" w:rsidR="008D33C7" w:rsidRPr="00844AC0" w:rsidRDefault="003B70AC" w:rsidP="00FB1F59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Défoulement</w:t>
            </w:r>
            <w:r w:rsidR="008D33C7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verbal :</w:t>
            </w:r>
            <w:r w:rsidR="00253A7C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(précisez)</w:t>
            </w:r>
          </w:p>
          <w:p w14:paraId="28E3163B" w14:textId="028BE6D0" w:rsidR="008D33C7" w:rsidRPr="00844AC0" w:rsidRDefault="003B70AC" w:rsidP="00FB1F59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Défoulement</w:t>
            </w:r>
            <w:r w:rsidR="008D33C7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non verbal :</w:t>
            </w:r>
            <w:r w:rsidR="00253A7C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(précisez)</w:t>
            </w:r>
          </w:p>
          <w:p w14:paraId="4628D35E" w14:textId="60DD5D5F" w:rsidR="00FB1F59" w:rsidRPr="00844AC0" w:rsidRDefault="003B70AC" w:rsidP="00FB1F59">
            <w:pPr>
              <w:widowControl w:val="0"/>
              <w:numPr>
                <w:ilvl w:val="0"/>
                <w:numId w:val="3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Quitte</w:t>
            </w:r>
            <w:r w:rsidR="00661913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le local sans permission (fuite)</w:t>
            </w:r>
          </w:p>
          <w:p w14:paraId="2741A0F4" w14:textId="77777777" w:rsidR="00FB1F59" w:rsidRPr="00844AC0" w:rsidRDefault="00FB1F59" w:rsidP="00056AA2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BC88862" w14:textId="1184A44E" w:rsidR="00FB1F59" w:rsidRPr="00844AC0" w:rsidRDefault="00FB1F5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89FF4E4" w14:textId="1B829D48" w:rsidR="00370CD8" w:rsidRPr="00844AC0" w:rsidRDefault="00370CD8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CD88D72" w14:textId="65F28D46" w:rsidR="00370CD8" w:rsidRPr="00844AC0" w:rsidRDefault="00370CD8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522A819" w14:textId="3D978F9D" w:rsidR="008D33C7" w:rsidRPr="00844AC0" w:rsidRDefault="008D33C7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A6D4D47" w14:textId="4E3A956D" w:rsidR="008D33C7" w:rsidRPr="00844AC0" w:rsidRDefault="008D33C7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38836185" w14:textId="23410CE0" w:rsidR="008D33C7" w:rsidRPr="00844AC0" w:rsidRDefault="008D33C7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197B3E3" w14:textId="629253A4" w:rsidR="008D33C7" w:rsidRPr="00844AC0" w:rsidRDefault="008D33C7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29FB2FD" w14:textId="63A269C7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68C0D746" w14:textId="490F8C6B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48AC59A" w14:textId="0ACB91E5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3EA8B5DD" w14:textId="6955B78C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86F7504" w14:textId="06E8D74C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D9844F8" w14:textId="459AA713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59085A98" w14:textId="30885921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9D00DA4" w14:textId="3DA857CC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F04EF00" w14:textId="2F3FAA52" w:rsidR="009D1789" w:rsidRPr="00844AC0" w:rsidRDefault="009D1789" w:rsidP="0003470D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0E9312E2" w14:textId="77777777" w:rsidR="009D1789" w:rsidRPr="00844AC0" w:rsidRDefault="009D1789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49F85F6D" w14:textId="77777777" w:rsidR="00370CD8" w:rsidRPr="00844AC0" w:rsidRDefault="00370CD8" w:rsidP="00056AA2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0860B181" w14:textId="4A5DDB8E" w:rsidR="00896B9A" w:rsidRPr="00844AC0" w:rsidRDefault="00896B9A" w:rsidP="00896B9A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Si ces comportements perdurent malgré les diverses interventions, ils peuvent amener la référence</w:t>
            </w:r>
            <w:r w:rsidR="00C12C35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sur</w:t>
            </w:r>
            <w:r w:rsidR="00172F2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-le-</w:t>
            </w:r>
            <w:r w:rsidR="00C12C35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champ</w:t>
            </w: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</w:t>
            </w: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u w:val="single"/>
                <w:lang w:eastAsia="fr-CA"/>
              </w:rPr>
              <w:t>à la direction</w:t>
            </w:r>
            <w:r w:rsidR="00C12C35" w:rsidRPr="00844AC0">
              <w:rPr>
                <w:rFonts w:ascii="Arial" w:eastAsia="Arial Unicode MS" w:hAnsi="Arial" w:cs="Arial"/>
                <w:kern w:val="1"/>
                <w:sz w:val="18"/>
                <w:szCs w:val="18"/>
                <w:u w:val="single"/>
                <w:lang w:eastAsia="fr-CA"/>
              </w:rPr>
              <w:t>.</w:t>
            </w: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(L’événement doit être compilé)</w:t>
            </w:r>
          </w:p>
          <w:p w14:paraId="7724E5F9" w14:textId="12D6D208" w:rsidR="00FB1F59" w:rsidRPr="00844AC0" w:rsidRDefault="00FB1F59" w:rsidP="009D1789">
            <w:pPr>
              <w:widowControl w:val="0"/>
              <w:suppressAutoHyphens/>
              <w:ind w:left="170" w:hanging="170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</w:tc>
        <w:tc>
          <w:tcPr>
            <w:tcW w:w="3495" w:type="dxa"/>
          </w:tcPr>
          <w:p w14:paraId="2CB397E1" w14:textId="623C7ABA" w:rsidR="006E1BCB" w:rsidRPr="00844AC0" w:rsidRDefault="00E21DB9" w:rsidP="000430DE">
            <w:pPr>
              <w:widowControl w:val="0"/>
              <w:numPr>
                <w:ilvl w:val="0"/>
                <w:numId w:val="1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* </w:t>
            </w:r>
            <w:r w:rsidR="00253A7C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F</w:t>
            </w:r>
            <w:r w:rsidR="00A307E6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ait toute</w:t>
            </w:r>
            <w:r w:rsidR="00FB1F5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action </w:t>
            </w:r>
            <w:r w:rsidR="00F346C5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dirigée vers quelqu’un </w:t>
            </w:r>
            <w:r w:rsidR="000430DE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de type voie de fait</w:t>
            </w:r>
            <w:r w:rsidR="00370CD8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 : mord</w:t>
            </w:r>
            <w:r w:rsidR="000430DE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, pousse, donne des coups de pied ou de poing, grafigne, crache, bagarre, etc.</w:t>
            </w:r>
          </w:p>
          <w:p w14:paraId="5A102BA7" w14:textId="4853AEC4" w:rsidR="00FB1F59" w:rsidRPr="00844AC0" w:rsidRDefault="00E21DB9" w:rsidP="00FB1F59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* </w:t>
            </w:r>
            <w:r w:rsidR="00253A7C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L</w:t>
            </w:r>
            <w:r w:rsidR="00FB1F5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ance des objets </w:t>
            </w:r>
            <w:r w:rsidR="00F346C5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de manière dirigée sur quelqu’un</w:t>
            </w:r>
            <w:r w:rsidR="00253A7C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(précisez)</w:t>
            </w:r>
          </w:p>
          <w:p w14:paraId="39679563" w14:textId="19967B77" w:rsidR="00FB1F59" w:rsidRPr="00844AC0" w:rsidRDefault="003B70AC" w:rsidP="00FB1F59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Brise</w:t>
            </w:r>
            <w:r w:rsidR="0004605B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</w:t>
            </w:r>
            <w:r w:rsidR="000430DE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ou abime</w:t>
            </w:r>
            <w:r w:rsidR="0004605B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volontairement</w:t>
            </w:r>
            <w:r w:rsidR="00FB1F5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la propriété d’autrui</w:t>
            </w:r>
            <w:r w:rsidR="0004605B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(méfait)</w:t>
            </w:r>
            <w:r w:rsidR="00253A7C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(précisez)</w:t>
            </w:r>
          </w:p>
          <w:p w14:paraId="361C1707" w14:textId="73E33B39" w:rsidR="0004605B" w:rsidRPr="00844AC0" w:rsidRDefault="003B70AC" w:rsidP="00FB1F59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Vole</w:t>
            </w:r>
            <w:r w:rsidR="006E1BCB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</w:t>
            </w:r>
          </w:p>
          <w:p w14:paraId="74CC33A5" w14:textId="07A7E0B6" w:rsidR="006E1BCB" w:rsidRPr="00844AC0" w:rsidRDefault="00661913" w:rsidP="00FB1F59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* </w:t>
            </w:r>
            <w:r w:rsidR="006E1BCB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Taxage (vol avec menace ou violence)</w:t>
            </w:r>
          </w:p>
          <w:p w14:paraId="09D4BA4F" w14:textId="35EEEA13" w:rsidR="00661913" w:rsidRPr="00844AC0" w:rsidRDefault="00661913" w:rsidP="00FB1F59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* Intimidation</w:t>
            </w:r>
            <w:r w:rsidR="00253A7C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(4 critères)</w:t>
            </w:r>
          </w:p>
          <w:p w14:paraId="45896C05" w14:textId="67BF6540" w:rsidR="00FB1F59" w:rsidRPr="00844AC0" w:rsidRDefault="003B70AC" w:rsidP="00FB1F59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Fume</w:t>
            </w:r>
            <w:r w:rsidR="00FB1F5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sur le terrain de l’école</w:t>
            </w:r>
          </w:p>
          <w:p w14:paraId="4401C459" w14:textId="695DE9C7" w:rsidR="00FB1F59" w:rsidRPr="00844AC0" w:rsidRDefault="003B70AC" w:rsidP="00FB1F59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Est</w:t>
            </w:r>
            <w:r w:rsidR="00FB1F5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en possession de drogues ou d’alcool</w:t>
            </w:r>
          </w:p>
          <w:p w14:paraId="78FE8FF5" w14:textId="393F6FF8" w:rsidR="00E21DB9" w:rsidRPr="00844AC0" w:rsidRDefault="003B70AC" w:rsidP="00E21DB9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Vente</w:t>
            </w:r>
            <w:r w:rsidR="00E21DB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de drogues</w:t>
            </w:r>
          </w:p>
          <w:p w14:paraId="12D65D95" w14:textId="7EF3FE7F" w:rsidR="00FB1F59" w:rsidRPr="00844AC0" w:rsidRDefault="003B70AC" w:rsidP="00FB1F59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Est</w:t>
            </w:r>
            <w:r w:rsidR="00661913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en possession d’armes</w:t>
            </w:r>
          </w:p>
          <w:p w14:paraId="18BD490C" w14:textId="70C68C03" w:rsidR="00FB1F59" w:rsidRPr="00844AC0" w:rsidRDefault="003B70AC" w:rsidP="00FB1F59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Menace</w:t>
            </w:r>
            <w:r w:rsidR="00FB1F5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</w:t>
            </w:r>
            <w:r w:rsidR="00661913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verbale ou non</w:t>
            </w:r>
            <w:r w:rsidR="00172F2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</w:t>
            </w:r>
            <w:r w:rsidR="00661913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verbale </w:t>
            </w:r>
            <w:r w:rsidR="00FB1F5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de blesser ou d’endommager</w:t>
            </w:r>
          </w:p>
          <w:p w14:paraId="5FD09C85" w14:textId="1857FAEB" w:rsidR="00661913" w:rsidRPr="00844AC0" w:rsidRDefault="009038F6" w:rsidP="00661913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* </w:t>
            </w:r>
            <w:r w:rsidR="003B70AC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Menace</w:t>
            </w:r>
            <w:r w:rsidR="00661913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de mort </w:t>
            </w:r>
          </w:p>
          <w:p w14:paraId="7FE082F2" w14:textId="6406816C" w:rsidR="00FB1F59" w:rsidRPr="00844AC0" w:rsidRDefault="003B70AC" w:rsidP="00FB1F59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Est</w:t>
            </w:r>
            <w:r w:rsidR="00FB1F59"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 xml:space="preserve"> en état de consommation</w:t>
            </w:r>
          </w:p>
          <w:p w14:paraId="19A39ED3" w14:textId="5B106424" w:rsidR="00661913" w:rsidRPr="00844AC0" w:rsidRDefault="003B70AC" w:rsidP="00FB1F59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Automutilation</w:t>
            </w:r>
          </w:p>
          <w:p w14:paraId="1D4683AB" w14:textId="5BCE1202" w:rsidR="00661913" w:rsidRPr="00844AC0" w:rsidRDefault="003B70AC" w:rsidP="00FB1F59">
            <w:pPr>
              <w:widowControl w:val="0"/>
              <w:numPr>
                <w:ilvl w:val="1"/>
                <w:numId w:val="4"/>
              </w:numPr>
              <w:tabs>
                <w:tab w:val="num" w:pos="252"/>
              </w:tabs>
              <w:suppressAutoHyphens/>
              <w:ind w:left="252" w:hanging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Fugue</w:t>
            </w:r>
          </w:p>
          <w:p w14:paraId="630C87C8" w14:textId="77777777" w:rsidR="00FB1F59" w:rsidRPr="00844AC0" w:rsidRDefault="00FB1F5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72C1E5E2" w14:textId="716E0EA0" w:rsidR="00FB1F59" w:rsidRPr="00844AC0" w:rsidRDefault="00FB1F5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634071D" w14:textId="3501A818" w:rsidR="00370CD8" w:rsidRPr="00844AC0" w:rsidRDefault="00370CD8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B9A8247" w14:textId="50F38669" w:rsidR="00370CD8" w:rsidRPr="00844AC0" w:rsidRDefault="00370CD8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978512C" w14:textId="07CED576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4DFC67E" w14:textId="37CE9336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0AF24461" w14:textId="0B35F4D7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2FFE870A" w14:textId="77777777" w:rsidR="009D1789" w:rsidRPr="00844AC0" w:rsidRDefault="009D1789" w:rsidP="00056AA2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139D1454" w14:textId="7A8047DA" w:rsidR="00FB1F59" w:rsidRPr="00844AC0" w:rsidRDefault="00661913" w:rsidP="00661913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  <w:t>*Ces comportements doivent être compilés dans le cadre de la LIP (Loi 56)</w:t>
            </w:r>
          </w:p>
        </w:tc>
      </w:tr>
      <w:tr w:rsidR="00FB1F59" w:rsidRPr="00844AC0" w14:paraId="028FC0AB" w14:textId="77777777" w:rsidTr="00056AA2">
        <w:tc>
          <w:tcPr>
            <w:tcW w:w="3594" w:type="dxa"/>
          </w:tcPr>
          <w:p w14:paraId="7E179D87" w14:textId="77777777" w:rsidR="00FB1F59" w:rsidRPr="00844AC0" w:rsidRDefault="00FB1F59" w:rsidP="00056AA2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</w:p>
          <w:p w14:paraId="3F15AC35" w14:textId="77777777" w:rsidR="00FB1F59" w:rsidRPr="00844AC0" w:rsidRDefault="00FB1F59" w:rsidP="0045057E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>Les interventions peuvent être :</w:t>
            </w:r>
          </w:p>
          <w:p w14:paraId="2AC4750E" w14:textId="77777777" w:rsidR="00130F85" w:rsidRPr="00844AC0" w:rsidRDefault="00130F85" w:rsidP="00130F85">
            <w:pPr>
              <w:widowControl w:val="0"/>
              <w:suppressAutoHyphens/>
              <w:spacing w:before="60" w:after="60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>Indirectes</w:t>
            </w:r>
          </w:p>
          <w:p w14:paraId="06187DC1" w14:textId="3B1FA4D6" w:rsidR="00130F85" w:rsidRPr="00844AC0" w:rsidRDefault="00130F85" w:rsidP="00130F85">
            <w:pPr>
              <w:widowControl w:val="0"/>
              <w:suppressAutoHyphens/>
              <w:spacing w:before="60" w:after="60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>Directes</w:t>
            </w:r>
          </w:p>
        </w:tc>
        <w:tc>
          <w:tcPr>
            <w:tcW w:w="4110" w:type="dxa"/>
          </w:tcPr>
          <w:p w14:paraId="749D0C08" w14:textId="77777777" w:rsidR="00FB1F59" w:rsidRPr="00844AC0" w:rsidRDefault="00FB1F59" w:rsidP="00056AA2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</w:p>
          <w:p w14:paraId="47E39494" w14:textId="77777777" w:rsidR="00FB1F59" w:rsidRPr="00844AC0" w:rsidRDefault="00FB1F59" w:rsidP="00056AA2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>Les interventions peuvent être :</w:t>
            </w:r>
          </w:p>
          <w:p w14:paraId="34A72177" w14:textId="77777777" w:rsidR="00130F85" w:rsidRPr="00844AC0" w:rsidRDefault="00130F85" w:rsidP="00130F85">
            <w:pPr>
              <w:widowControl w:val="0"/>
              <w:suppressAutoHyphens/>
              <w:spacing w:before="60" w:after="60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>Indirectes</w:t>
            </w:r>
          </w:p>
          <w:p w14:paraId="24085EF8" w14:textId="0ABBB0DE" w:rsidR="00FB1F59" w:rsidRPr="00844AC0" w:rsidRDefault="00130F85" w:rsidP="00130F85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>Directes</w:t>
            </w:r>
          </w:p>
        </w:tc>
        <w:tc>
          <w:tcPr>
            <w:tcW w:w="3685" w:type="dxa"/>
          </w:tcPr>
          <w:p w14:paraId="70300F55" w14:textId="77777777" w:rsidR="00FB1F59" w:rsidRPr="00844AC0" w:rsidRDefault="00FB1F59" w:rsidP="00056AA2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</w:p>
          <w:p w14:paraId="7EC91567" w14:textId="77777777" w:rsidR="00FB1F59" w:rsidRPr="00844AC0" w:rsidRDefault="00FB1F59" w:rsidP="00056AA2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>Les interventions peuvent être :</w:t>
            </w:r>
          </w:p>
          <w:p w14:paraId="37F74DF5" w14:textId="77777777" w:rsidR="00FB1F59" w:rsidRPr="00844AC0" w:rsidRDefault="00FB1F59" w:rsidP="0045057E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</w:tc>
        <w:tc>
          <w:tcPr>
            <w:tcW w:w="3495" w:type="dxa"/>
          </w:tcPr>
          <w:p w14:paraId="25767551" w14:textId="77777777" w:rsidR="00FB1F59" w:rsidRPr="00844AC0" w:rsidRDefault="00FB1F59" w:rsidP="00056AA2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</w:p>
          <w:p w14:paraId="4C7F5893" w14:textId="77777777" w:rsidR="00FB1F59" w:rsidRPr="00844AC0" w:rsidRDefault="00FB1F59" w:rsidP="00056AA2">
            <w:pPr>
              <w:widowControl w:val="0"/>
              <w:suppressAutoHyphens/>
              <w:spacing w:before="60" w:after="60"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>Les interventions peuvent être :</w:t>
            </w:r>
          </w:p>
          <w:p w14:paraId="2E6C0F32" w14:textId="77777777" w:rsidR="00FB1F59" w:rsidRPr="00844AC0" w:rsidRDefault="00FB1F59" w:rsidP="0045057E">
            <w:pPr>
              <w:widowControl w:val="0"/>
              <w:suppressAutoHyphens/>
              <w:spacing w:before="120"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</w:tc>
      </w:tr>
      <w:tr w:rsidR="00FB1F59" w:rsidRPr="00844AC0" w14:paraId="7C4710DC" w14:textId="77777777" w:rsidTr="00056AA2">
        <w:trPr>
          <w:trHeight w:val="3609"/>
        </w:trPr>
        <w:tc>
          <w:tcPr>
            <w:tcW w:w="3594" w:type="dxa"/>
          </w:tcPr>
          <w:p w14:paraId="5FDF08E1" w14:textId="7776C02B" w:rsidR="00FB1F59" w:rsidRPr="00844AC0" w:rsidRDefault="00FB1F59" w:rsidP="00056AA2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>Les conséquences logiques</w:t>
            </w:r>
            <w:r w:rsidR="00B60B94"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 xml:space="preserve"> et formative</w:t>
            </w:r>
            <w:r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 xml:space="preserve"> possibles:</w:t>
            </w:r>
          </w:p>
          <w:p w14:paraId="0A6498C1" w14:textId="77777777" w:rsidR="00FB1F59" w:rsidRPr="00844AC0" w:rsidRDefault="00FB1F59" w:rsidP="00056AA2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  <w:p w14:paraId="488E8C46" w14:textId="77777777" w:rsidR="00FB1F59" w:rsidRPr="00844AC0" w:rsidRDefault="00FB1F59" w:rsidP="0045057E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</w:tc>
        <w:tc>
          <w:tcPr>
            <w:tcW w:w="4110" w:type="dxa"/>
          </w:tcPr>
          <w:p w14:paraId="08FFBFDC" w14:textId="77777777" w:rsidR="00B60B94" w:rsidRPr="00844AC0" w:rsidRDefault="00B60B94" w:rsidP="00B60B9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>Les conséquences logiques et formative possibles:</w:t>
            </w:r>
          </w:p>
          <w:p w14:paraId="22CEE4BA" w14:textId="77777777" w:rsidR="00FB1F59" w:rsidRPr="00844AC0" w:rsidRDefault="00FB1F59" w:rsidP="0045057E">
            <w:pPr>
              <w:widowControl w:val="0"/>
              <w:suppressAutoHyphens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</w:tc>
        <w:tc>
          <w:tcPr>
            <w:tcW w:w="3685" w:type="dxa"/>
          </w:tcPr>
          <w:p w14:paraId="567001BC" w14:textId="77777777" w:rsidR="00B60B94" w:rsidRPr="00844AC0" w:rsidRDefault="00B60B94" w:rsidP="00B60B9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>Les conséquences logiques et formative possibles:</w:t>
            </w:r>
          </w:p>
          <w:p w14:paraId="619D704E" w14:textId="77777777" w:rsidR="00FB1F59" w:rsidRPr="00844AC0" w:rsidRDefault="00FB1F59" w:rsidP="0045057E">
            <w:pPr>
              <w:widowControl w:val="0"/>
              <w:suppressAutoHyphens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</w:tc>
        <w:tc>
          <w:tcPr>
            <w:tcW w:w="3495" w:type="dxa"/>
          </w:tcPr>
          <w:p w14:paraId="21FF6696" w14:textId="77777777" w:rsidR="00B60B94" w:rsidRPr="00844AC0" w:rsidRDefault="00B60B94" w:rsidP="00B60B94">
            <w:pPr>
              <w:widowControl w:val="0"/>
              <w:suppressAutoHyphens/>
              <w:jc w:val="center"/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</w:pPr>
            <w:r w:rsidRPr="00844AC0">
              <w:rPr>
                <w:rFonts w:ascii="Arial" w:eastAsia="Arial Unicode MS" w:hAnsi="Arial" w:cs="Arial"/>
                <w:kern w:val="1"/>
                <w:sz w:val="22"/>
                <w:szCs w:val="22"/>
                <w:lang w:eastAsia="fr-CA"/>
              </w:rPr>
              <w:t>Les conséquences logiques et formative possibles:</w:t>
            </w:r>
          </w:p>
          <w:p w14:paraId="6B0A1150" w14:textId="3040198D" w:rsidR="00FB1F59" w:rsidRPr="00844AC0" w:rsidRDefault="00FB1F59" w:rsidP="0045057E">
            <w:pPr>
              <w:widowControl w:val="0"/>
              <w:suppressAutoHyphens/>
              <w:spacing w:before="120"/>
              <w:ind w:left="252"/>
              <w:rPr>
                <w:rFonts w:ascii="Arial" w:eastAsia="Arial Unicode MS" w:hAnsi="Arial" w:cs="Arial"/>
                <w:kern w:val="1"/>
                <w:sz w:val="18"/>
                <w:szCs w:val="18"/>
                <w:lang w:eastAsia="fr-CA"/>
              </w:rPr>
            </w:pPr>
          </w:p>
        </w:tc>
      </w:tr>
    </w:tbl>
    <w:p w14:paraId="1FD4A366" w14:textId="77777777" w:rsidR="00412FFC" w:rsidRPr="00844AC0" w:rsidRDefault="00412FFC" w:rsidP="0045057E">
      <w:pPr>
        <w:jc w:val="both"/>
        <w:rPr>
          <w:rFonts w:ascii="Arial" w:hAnsi="Arial" w:cs="Arial"/>
          <w:i/>
          <w:sz w:val="22"/>
        </w:rPr>
      </w:pPr>
    </w:p>
    <w:p w14:paraId="5061BCE0" w14:textId="7863983F" w:rsidR="00FB1F59" w:rsidRPr="00844AC0" w:rsidRDefault="00F7771B" w:rsidP="0045057E">
      <w:pPr>
        <w:jc w:val="both"/>
        <w:rPr>
          <w:rFonts w:ascii="Arial" w:hAnsi="Arial" w:cs="Arial"/>
          <w:i/>
          <w:sz w:val="22"/>
        </w:rPr>
      </w:pPr>
      <w:r w:rsidRPr="00844AC0">
        <w:rPr>
          <w:rFonts w:ascii="Arial" w:hAnsi="Arial" w:cs="Arial"/>
          <w:i/>
          <w:sz w:val="22"/>
        </w:rPr>
        <w:t xml:space="preserve">Intervention : vise à amener l’élève à faire </w:t>
      </w:r>
      <w:r w:rsidR="006846B8" w:rsidRPr="00844AC0">
        <w:rPr>
          <w:rFonts w:ascii="Arial" w:hAnsi="Arial" w:cs="Arial"/>
          <w:i/>
          <w:sz w:val="22"/>
        </w:rPr>
        <w:t xml:space="preserve">immédiatement </w:t>
      </w:r>
      <w:r w:rsidRPr="00844AC0">
        <w:rPr>
          <w:rFonts w:ascii="Arial" w:hAnsi="Arial" w:cs="Arial"/>
          <w:i/>
          <w:sz w:val="22"/>
        </w:rPr>
        <w:t>le bon choix de comportement pour être à nouveau disponible aux apprentissages. Le tout se réalise en utilisant différentes techniques d’intervention en lien avec le comportement</w:t>
      </w:r>
      <w:r w:rsidR="0045057E" w:rsidRPr="00844AC0">
        <w:rPr>
          <w:rFonts w:ascii="Arial" w:hAnsi="Arial" w:cs="Arial"/>
          <w:i/>
          <w:sz w:val="22"/>
        </w:rPr>
        <w:t>.</w:t>
      </w:r>
    </w:p>
    <w:p w14:paraId="1D7E69F6" w14:textId="15B3D6E4" w:rsidR="00F7771B" w:rsidRPr="00844AC0" w:rsidRDefault="00F7771B" w:rsidP="0045057E">
      <w:pPr>
        <w:jc w:val="both"/>
        <w:rPr>
          <w:rFonts w:ascii="Arial" w:hAnsi="Arial" w:cs="Arial"/>
          <w:i/>
          <w:sz w:val="22"/>
        </w:rPr>
      </w:pPr>
    </w:p>
    <w:p w14:paraId="2F47981C" w14:textId="180C4C45" w:rsidR="00F7771B" w:rsidRPr="00844AC0" w:rsidRDefault="00F7771B" w:rsidP="0045057E">
      <w:pPr>
        <w:jc w:val="both"/>
        <w:rPr>
          <w:rFonts w:ascii="Arial" w:hAnsi="Arial" w:cs="Arial"/>
          <w:i/>
          <w:sz w:val="22"/>
        </w:rPr>
      </w:pPr>
      <w:r w:rsidRPr="00844AC0">
        <w:rPr>
          <w:rFonts w:ascii="Arial" w:hAnsi="Arial" w:cs="Arial"/>
          <w:i/>
          <w:sz w:val="22"/>
        </w:rPr>
        <w:t>Conséquence</w:t>
      </w:r>
      <w:r w:rsidR="006846B8" w:rsidRPr="00844AC0">
        <w:rPr>
          <w:rFonts w:ascii="Arial" w:hAnsi="Arial" w:cs="Arial"/>
          <w:i/>
          <w:sz w:val="22"/>
        </w:rPr>
        <w:t xml:space="preserve"> </w:t>
      </w:r>
      <w:r w:rsidR="0045057E" w:rsidRPr="00844AC0">
        <w:rPr>
          <w:rFonts w:ascii="Arial" w:hAnsi="Arial" w:cs="Arial"/>
          <w:i/>
          <w:sz w:val="22"/>
        </w:rPr>
        <w:t>formative</w:t>
      </w:r>
      <w:r w:rsidRPr="00844AC0">
        <w:rPr>
          <w:rFonts w:ascii="Arial" w:hAnsi="Arial" w:cs="Arial"/>
          <w:i/>
          <w:sz w:val="22"/>
        </w:rPr>
        <w:t xml:space="preserve"> : </w:t>
      </w:r>
      <w:r w:rsidR="006846B8" w:rsidRPr="00844AC0">
        <w:rPr>
          <w:rFonts w:ascii="Arial" w:hAnsi="Arial" w:cs="Arial"/>
          <w:i/>
          <w:sz w:val="22"/>
        </w:rPr>
        <w:t xml:space="preserve">n’est pas synonyme de punition. </w:t>
      </w:r>
      <w:r w:rsidR="0045057E" w:rsidRPr="00844AC0">
        <w:rPr>
          <w:rFonts w:ascii="Arial" w:hAnsi="Arial" w:cs="Arial"/>
          <w:i/>
          <w:sz w:val="22"/>
        </w:rPr>
        <w:t>Vise la diminution ou l’élimination d’un comportement inapproprié chez l’élève, mais également à lui enseigner le comportement désiré. Occasion supplémentaire pour que l’élève développe et acqui</w:t>
      </w:r>
      <w:r w:rsidR="00172F29" w:rsidRPr="00844AC0">
        <w:rPr>
          <w:rFonts w:ascii="Arial" w:hAnsi="Arial" w:cs="Arial"/>
          <w:i/>
          <w:sz w:val="22"/>
        </w:rPr>
        <w:t>ère</w:t>
      </w:r>
      <w:r w:rsidR="0045057E" w:rsidRPr="00844AC0">
        <w:rPr>
          <w:rFonts w:ascii="Arial" w:hAnsi="Arial" w:cs="Arial"/>
          <w:i/>
          <w:sz w:val="22"/>
        </w:rPr>
        <w:t xml:space="preserve"> le comportement à long terme. </w:t>
      </w:r>
      <w:r w:rsidR="00412FFC" w:rsidRPr="00844AC0">
        <w:rPr>
          <w:rStyle w:val="Appeldenotedefin"/>
          <w:rFonts w:ascii="Arial" w:hAnsi="Arial" w:cs="Arial"/>
          <w:i/>
          <w:sz w:val="22"/>
        </w:rPr>
        <w:endnoteReference w:id="1"/>
      </w:r>
      <w:r w:rsidR="00617BB8" w:rsidRPr="00844AC0">
        <w:rPr>
          <w:rFonts w:ascii="Arial" w:hAnsi="Arial" w:cs="Arial"/>
          <w:i/>
          <w:sz w:val="22"/>
        </w:rPr>
        <w:t xml:space="preserve">Vise également la réparation de la relation ou des objets brisés. </w:t>
      </w:r>
    </w:p>
    <w:p w14:paraId="7C0C887D" w14:textId="5FD57D1E" w:rsidR="00412FFC" w:rsidRPr="00844AC0" w:rsidRDefault="00412FFC" w:rsidP="0045057E">
      <w:pPr>
        <w:jc w:val="both"/>
        <w:rPr>
          <w:rFonts w:ascii="Arial" w:hAnsi="Arial" w:cs="Arial"/>
          <w:i/>
          <w:sz w:val="22"/>
        </w:rPr>
      </w:pPr>
    </w:p>
    <w:p w14:paraId="1C2DC111" w14:textId="22546280" w:rsidR="00412FFC" w:rsidRPr="00844AC0" w:rsidRDefault="00412FFC" w:rsidP="0045057E">
      <w:pPr>
        <w:jc w:val="both"/>
        <w:rPr>
          <w:rFonts w:ascii="Arial" w:hAnsi="Arial" w:cs="Arial"/>
          <w:i/>
          <w:sz w:val="22"/>
        </w:rPr>
      </w:pPr>
    </w:p>
    <w:p w14:paraId="1A537A41" w14:textId="0F85DA78" w:rsidR="00412FFC" w:rsidRPr="00844AC0" w:rsidRDefault="00412FFC" w:rsidP="0045057E">
      <w:pPr>
        <w:jc w:val="both"/>
        <w:rPr>
          <w:rFonts w:ascii="Arial" w:hAnsi="Arial" w:cs="Arial"/>
          <w:i/>
          <w:sz w:val="22"/>
        </w:rPr>
      </w:pPr>
    </w:p>
    <w:p w14:paraId="1D1AF2AE" w14:textId="2DDCC2D2" w:rsidR="00412FFC" w:rsidRPr="00844AC0" w:rsidRDefault="00412FFC" w:rsidP="0045057E">
      <w:pPr>
        <w:jc w:val="both"/>
        <w:rPr>
          <w:rFonts w:ascii="Arial" w:hAnsi="Arial" w:cs="Arial"/>
          <w:i/>
          <w:sz w:val="22"/>
        </w:rPr>
      </w:pPr>
    </w:p>
    <w:p w14:paraId="092AC251" w14:textId="486D509A" w:rsidR="00412FFC" w:rsidRPr="00844AC0" w:rsidRDefault="00412FFC" w:rsidP="0045057E">
      <w:pPr>
        <w:jc w:val="both"/>
        <w:rPr>
          <w:rFonts w:ascii="Arial" w:hAnsi="Arial" w:cs="Arial"/>
          <w:i/>
          <w:sz w:val="22"/>
        </w:rPr>
      </w:pPr>
    </w:p>
    <w:p w14:paraId="24BA001C" w14:textId="0EA2F5B0" w:rsidR="00412FFC" w:rsidRPr="00844AC0" w:rsidRDefault="00412FFC" w:rsidP="0045057E">
      <w:pPr>
        <w:jc w:val="both"/>
        <w:rPr>
          <w:rFonts w:ascii="Arial" w:hAnsi="Arial" w:cs="Arial"/>
          <w:i/>
          <w:sz w:val="22"/>
        </w:rPr>
      </w:pPr>
    </w:p>
    <w:p w14:paraId="3462733C" w14:textId="34200E8D" w:rsidR="00412FFC" w:rsidRPr="00844AC0" w:rsidRDefault="001F6418" w:rsidP="0045057E">
      <w:pPr>
        <w:jc w:val="both"/>
        <w:rPr>
          <w:rFonts w:ascii="Arial" w:hAnsi="Arial" w:cs="Arial"/>
          <w:sz w:val="22"/>
        </w:rPr>
      </w:pPr>
      <w:r w:rsidRPr="00844AC0">
        <w:rPr>
          <w:rFonts w:ascii="Arial" w:hAnsi="Arial" w:cs="Arial"/>
          <w:sz w:val="22"/>
        </w:rPr>
        <w:t xml:space="preserve">Rappel : ne pas oublier d’informer les parents pour les comportements répétitifs de </w:t>
      </w:r>
      <w:r w:rsidR="0038167A" w:rsidRPr="00844AC0">
        <w:rPr>
          <w:rFonts w:ascii="Arial" w:hAnsi="Arial" w:cs="Arial"/>
          <w:sz w:val="22"/>
        </w:rPr>
        <w:t>catégories</w:t>
      </w:r>
      <w:r w:rsidRPr="00844AC0">
        <w:rPr>
          <w:rFonts w:ascii="Arial" w:hAnsi="Arial" w:cs="Arial"/>
          <w:sz w:val="22"/>
        </w:rPr>
        <w:t xml:space="preserve"> 1 et 2. De plus, lorsqu’un élève est sorti de classe</w:t>
      </w:r>
      <w:r w:rsidR="00D20535" w:rsidRPr="00844AC0">
        <w:rPr>
          <w:rFonts w:ascii="Arial" w:hAnsi="Arial" w:cs="Arial"/>
          <w:sz w:val="22"/>
        </w:rPr>
        <w:t xml:space="preserve"> (</w:t>
      </w:r>
      <w:r w:rsidR="0038167A" w:rsidRPr="00844AC0">
        <w:rPr>
          <w:rFonts w:ascii="Arial" w:hAnsi="Arial" w:cs="Arial"/>
          <w:sz w:val="22"/>
        </w:rPr>
        <w:t>catégorie</w:t>
      </w:r>
      <w:r w:rsidR="00D20535" w:rsidRPr="00844AC0">
        <w:rPr>
          <w:rFonts w:ascii="Arial" w:hAnsi="Arial" w:cs="Arial"/>
          <w:sz w:val="22"/>
        </w:rPr>
        <w:t xml:space="preserve"> 3)</w:t>
      </w:r>
      <w:r w:rsidRPr="00844AC0">
        <w:rPr>
          <w:rFonts w:ascii="Arial" w:hAnsi="Arial" w:cs="Arial"/>
          <w:sz w:val="22"/>
        </w:rPr>
        <w:t xml:space="preserve"> et que des mesures d’aide sont mises en place, le parent doit avoir l’information. </w:t>
      </w:r>
      <w:r w:rsidR="00D20535" w:rsidRPr="00844AC0">
        <w:rPr>
          <w:rFonts w:ascii="Arial" w:hAnsi="Arial" w:cs="Arial"/>
          <w:sz w:val="22"/>
        </w:rPr>
        <w:t>S’assurer également que les parents soient impliqué</w:t>
      </w:r>
      <w:r w:rsidR="0038167A" w:rsidRPr="00844AC0">
        <w:rPr>
          <w:rFonts w:ascii="Arial" w:hAnsi="Arial" w:cs="Arial"/>
          <w:sz w:val="22"/>
        </w:rPr>
        <w:t>s pour les situations de catégorie</w:t>
      </w:r>
      <w:r w:rsidR="00D20535" w:rsidRPr="00844AC0">
        <w:rPr>
          <w:rFonts w:ascii="Arial" w:hAnsi="Arial" w:cs="Arial"/>
          <w:sz w:val="22"/>
        </w:rPr>
        <w:t xml:space="preserve"> 4. </w:t>
      </w:r>
    </w:p>
    <w:p w14:paraId="4D2065AA" w14:textId="768F175C" w:rsidR="00412FFC" w:rsidRPr="00844AC0" w:rsidRDefault="00412FFC" w:rsidP="0045057E">
      <w:pPr>
        <w:jc w:val="both"/>
        <w:rPr>
          <w:rFonts w:ascii="Arial" w:hAnsi="Arial" w:cs="Arial"/>
          <w:i/>
          <w:sz w:val="22"/>
        </w:rPr>
      </w:pPr>
    </w:p>
    <w:p w14:paraId="6A802200" w14:textId="50A54453" w:rsidR="000E7708" w:rsidRPr="00844AC0" w:rsidRDefault="000E7708" w:rsidP="0045057E">
      <w:pPr>
        <w:jc w:val="both"/>
        <w:rPr>
          <w:rFonts w:ascii="Arial" w:hAnsi="Arial" w:cs="Arial"/>
          <w:i/>
          <w:sz w:val="22"/>
        </w:rPr>
      </w:pPr>
    </w:p>
    <w:p w14:paraId="6F3AF453" w14:textId="77777777" w:rsidR="000E7708" w:rsidRPr="00844AC0" w:rsidRDefault="000E7708" w:rsidP="0045057E">
      <w:pPr>
        <w:jc w:val="both"/>
        <w:rPr>
          <w:rFonts w:ascii="Arial" w:hAnsi="Arial" w:cs="Arial"/>
          <w:i/>
          <w:sz w:val="22"/>
        </w:rPr>
      </w:pPr>
    </w:p>
    <w:sectPr w:rsidR="000E7708" w:rsidRPr="00844AC0" w:rsidSect="00FB1F59">
      <w:pgSz w:w="15840" w:h="12240" w:orient="landscape"/>
      <w:pgMar w:top="567" w:right="531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3426" w14:textId="77777777" w:rsidR="001B1D8E" w:rsidRDefault="001B1D8E" w:rsidP="00412FFC">
      <w:r>
        <w:separator/>
      </w:r>
    </w:p>
  </w:endnote>
  <w:endnote w:type="continuationSeparator" w:id="0">
    <w:p w14:paraId="33C96DBB" w14:textId="77777777" w:rsidR="001B1D8E" w:rsidRDefault="001B1D8E" w:rsidP="00412FFC">
      <w:r>
        <w:continuationSeparator/>
      </w:r>
    </w:p>
  </w:endnote>
  <w:endnote w:id="1">
    <w:p w14:paraId="4FF94443" w14:textId="1A934F74" w:rsidR="00412FFC" w:rsidRPr="008E7DC1" w:rsidRDefault="00412FFC">
      <w:pPr>
        <w:pStyle w:val="Notedefin"/>
        <w:rPr>
          <w:rFonts w:ascii="Arial" w:hAnsi="Arial" w:cs="Arial"/>
        </w:rPr>
      </w:pPr>
      <w:r w:rsidRPr="008E7DC1">
        <w:rPr>
          <w:rStyle w:val="Appeldenotedefin"/>
          <w:rFonts w:ascii="Arial" w:hAnsi="Arial" w:cs="Arial"/>
        </w:rPr>
        <w:endnoteRef/>
      </w:r>
      <w:r w:rsidRPr="008E7DC1">
        <w:rPr>
          <w:rFonts w:ascii="Arial" w:hAnsi="Arial" w:cs="Arial"/>
        </w:rPr>
        <w:t xml:space="preserve"> Bissonnette, S. &amp; Gauthier, C &amp; Castonguay, M. L’enseignement explicite des comportements. (2017) Montréal : Chenelière éducation.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073CB" w14:textId="77777777" w:rsidR="001B1D8E" w:rsidRDefault="001B1D8E" w:rsidP="00412FFC">
      <w:r>
        <w:separator/>
      </w:r>
    </w:p>
  </w:footnote>
  <w:footnote w:type="continuationSeparator" w:id="0">
    <w:p w14:paraId="27921F42" w14:textId="77777777" w:rsidR="001B1D8E" w:rsidRDefault="001B1D8E" w:rsidP="00412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0626"/>
    <w:multiLevelType w:val="hybridMultilevel"/>
    <w:tmpl w:val="35C29D3E"/>
    <w:lvl w:ilvl="0" w:tplc="088424A2">
      <w:start w:val="1"/>
      <w:numFmt w:val="bullet"/>
      <w:lvlText w:val="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  <w:szCs w:val="20"/>
      </w:rPr>
    </w:lvl>
    <w:lvl w:ilvl="1" w:tplc="088424A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D90"/>
    <w:multiLevelType w:val="hybridMultilevel"/>
    <w:tmpl w:val="1EFE7698"/>
    <w:lvl w:ilvl="0" w:tplc="088424A2">
      <w:start w:val="1"/>
      <w:numFmt w:val="bullet"/>
      <w:lvlText w:val="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  <w:szCs w:val="20"/>
      </w:rPr>
    </w:lvl>
    <w:lvl w:ilvl="1" w:tplc="088424A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B60AC"/>
    <w:multiLevelType w:val="hybridMultilevel"/>
    <w:tmpl w:val="C4767EBA"/>
    <w:lvl w:ilvl="0" w:tplc="8730AEF2">
      <w:start w:val="1"/>
      <w:numFmt w:val="bullet"/>
      <w:lvlText w:val="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  <w:szCs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A52E1"/>
    <w:multiLevelType w:val="hybridMultilevel"/>
    <w:tmpl w:val="A330064E"/>
    <w:lvl w:ilvl="0" w:tplc="8730AEF2">
      <w:start w:val="1"/>
      <w:numFmt w:val="bullet"/>
      <w:lvlText w:val="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  <w:szCs w:val="20"/>
      </w:rPr>
    </w:lvl>
    <w:lvl w:ilvl="1" w:tplc="206652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91223"/>
    <w:multiLevelType w:val="hybridMultilevel"/>
    <w:tmpl w:val="E0A26A6C"/>
    <w:lvl w:ilvl="0" w:tplc="088424A2">
      <w:start w:val="1"/>
      <w:numFmt w:val="bullet"/>
      <w:lvlText w:val="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  <w:szCs w:val="20"/>
      </w:rPr>
    </w:lvl>
    <w:lvl w:ilvl="1" w:tplc="088424A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C7451"/>
    <w:multiLevelType w:val="hybridMultilevel"/>
    <w:tmpl w:val="3BA823BC"/>
    <w:lvl w:ilvl="0" w:tplc="088424A2">
      <w:start w:val="1"/>
      <w:numFmt w:val="bullet"/>
      <w:lvlText w:val="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  <w:szCs w:val="20"/>
      </w:rPr>
    </w:lvl>
    <w:lvl w:ilvl="1" w:tplc="088424A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B756D"/>
    <w:multiLevelType w:val="hybridMultilevel"/>
    <w:tmpl w:val="3AEAAB44"/>
    <w:lvl w:ilvl="0" w:tplc="088424A2">
      <w:start w:val="1"/>
      <w:numFmt w:val="bullet"/>
      <w:lvlText w:val="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  <w:szCs w:val="20"/>
      </w:rPr>
    </w:lvl>
    <w:lvl w:ilvl="1" w:tplc="088424A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57F9"/>
    <w:multiLevelType w:val="hybridMultilevel"/>
    <w:tmpl w:val="8324824A"/>
    <w:lvl w:ilvl="0" w:tplc="088424A2">
      <w:start w:val="1"/>
      <w:numFmt w:val="bullet"/>
      <w:lvlText w:val="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  <w:szCs w:val="20"/>
      </w:rPr>
    </w:lvl>
    <w:lvl w:ilvl="1" w:tplc="088424A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57FC"/>
    <w:multiLevelType w:val="hybridMultilevel"/>
    <w:tmpl w:val="3BF452A2"/>
    <w:lvl w:ilvl="0" w:tplc="088424A2">
      <w:start w:val="1"/>
      <w:numFmt w:val="bullet"/>
      <w:lvlText w:val="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  <w:szCs w:val="20"/>
      </w:rPr>
    </w:lvl>
    <w:lvl w:ilvl="1" w:tplc="088424A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C24E8"/>
    <w:multiLevelType w:val="hybridMultilevel"/>
    <w:tmpl w:val="3670D61A"/>
    <w:lvl w:ilvl="0" w:tplc="088424A2">
      <w:start w:val="1"/>
      <w:numFmt w:val="bullet"/>
      <w:lvlText w:val="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  <w:szCs w:val="20"/>
      </w:rPr>
    </w:lvl>
    <w:lvl w:ilvl="1" w:tplc="088424A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01624"/>
    <w:multiLevelType w:val="hybridMultilevel"/>
    <w:tmpl w:val="275E8DF2"/>
    <w:lvl w:ilvl="0" w:tplc="8730AEF2">
      <w:start w:val="1"/>
      <w:numFmt w:val="bullet"/>
      <w:lvlText w:val="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  <w:szCs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736D0"/>
    <w:multiLevelType w:val="hybridMultilevel"/>
    <w:tmpl w:val="0BEA8EDE"/>
    <w:lvl w:ilvl="0" w:tplc="088424A2">
      <w:start w:val="1"/>
      <w:numFmt w:val="bullet"/>
      <w:lvlText w:val="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  <w:szCs w:val="20"/>
      </w:rPr>
    </w:lvl>
    <w:lvl w:ilvl="1" w:tplc="088424A2">
      <w:start w:val="1"/>
      <w:numFmt w:val="bullet"/>
      <w:lvlText w:val="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A42FF"/>
    <w:multiLevelType w:val="hybridMultilevel"/>
    <w:tmpl w:val="8B0CF4BE"/>
    <w:lvl w:ilvl="0" w:tplc="6C46482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59"/>
    <w:rsid w:val="0003470D"/>
    <w:rsid w:val="000430DE"/>
    <w:rsid w:val="0004605B"/>
    <w:rsid w:val="000E7708"/>
    <w:rsid w:val="00130F85"/>
    <w:rsid w:val="00156357"/>
    <w:rsid w:val="00172F29"/>
    <w:rsid w:val="001B1D8E"/>
    <w:rsid w:val="001F6418"/>
    <w:rsid w:val="00253A7C"/>
    <w:rsid w:val="002A7F49"/>
    <w:rsid w:val="00313980"/>
    <w:rsid w:val="00370CD8"/>
    <w:rsid w:val="0038167A"/>
    <w:rsid w:val="003B70AC"/>
    <w:rsid w:val="00412959"/>
    <w:rsid w:val="00412FFC"/>
    <w:rsid w:val="0045057E"/>
    <w:rsid w:val="004B584C"/>
    <w:rsid w:val="00617BB8"/>
    <w:rsid w:val="00624CC0"/>
    <w:rsid w:val="0063569A"/>
    <w:rsid w:val="00661913"/>
    <w:rsid w:val="006846B8"/>
    <w:rsid w:val="006B6C33"/>
    <w:rsid w:val="006E1BCB"/>
    <w:rsid w:val="007054EE"/>
    <w:rsid w:val="00722F4F"/>
    <w:rsid w:val="00805576"/>
    <w:rsid w:val="00844AC0"/>
    <w:rsid w:val="00896B9A"/>
    <w:rsid w:val="008D33C7"/>
    <w:rsid w:val="008E7DC1"/>
    <w:rsid w:val="009038F6"/>
    <w:rsid w:val="0090461C"/>
    <w:rsid w:val="009051EA"/>
    <w:rsid w:val="00934F01"/>
    <w:rsid w:val="009D0AE3"/>
    <w:rsid w:val="009D1789"/>
    <w:rsid w:val="00A307E6"/>
    <w:rsid w:val="00A40D26"/>
    <w:rsid w:val="00A537E2"/>
    <w:rsid w:val="00A85413"/>
    <w:rsid w:val="00AB751C"/>
    <w:rsid w:val="00B60B94"/>
    <w:rsid w:val="00B85025"/>
    <w:rsid w:val="00BF658C"/>
    <w:rsid w:val="00C12C35"/>
    <w:rsid w:val="00C14A73"/>
    <w:rsid w:val="00D20535"/>
    <w:rsid w:val="00E21DB9"/>
    <w:rsid w:val="00EB174C"/>
    <w:rsid w:val="00F1784A"/>
    <w:rsid w:val="00F346C5"/>
    <w:rsid w:val="00F7771B"/>
    <w:rsid w:val="00FB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9A0D"/>
  <w15:docId w15:val="{0D7C7FCC-12FC-48C8-9736-6E032FFCB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051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51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51EA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51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51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51E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1EA"/>
    <w:rPr>
      <w:rFonts w:ascii="Times New Roman" w:eastAsia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61913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12F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12FFC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12FF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72F2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72F29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72F2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2F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E31C0-1BAA-F14A-812F-3D302167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norm.sfi@rogers.com</dc:creator>
  <cp:keywords/>
  <dc:description/>
  <cp:lastModifiedBy>Stephanie Brochu</cp:lastModifiedBy>
  <cp:revision>2</cp:revision>
  <cp:lastPrinted>2018-10-29T17:07:00Z</cp:lastPrinted>
  <dcterms:created xsi:type="dcterms:W3CDTF">2019-02-26T18:19:00Z</dcterms:created>
  <dcterms:modified xsi:type="dcterms:W3CDTF">2019-02-26T18:19:00Z</dcterms:modified>
</cp:coreProperties>
</file>