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1" w:rsidRPr="00E10FF7" w:rsidRDefault="00851361" w:rsidP="00851361">
      <w:pPr>
        <w:pStyle w:val="En-tte"/>
        <w:rPr>
          <w:rFonts w:ascii="Arial Rounded MT Bold" w:hAnsi="Arial Rounded MT Bold"/>
          <w:b/>
          <w:bCs/>
          <w:i/>
        </w:rPr>
      </w:pPr>
      <w:bookmarkStart w:id="0" w:name="_GoBack"/>
      <w:bookmarkEnd w:id="0"/>
      <w:r w:rsidRPr="00E10FF7">
        <w:rPr>
          <w:b/>
          <w:sz w:val="28"/>
          <w:szCs w:val="28"/>
        </w:rPr>
        <w:t xml:space="preserve">Grille d’évaluation : </w:t>
      </w:r>
      <w:r w:rsidR="009162E3" w:rsidRPr="00E10FF7">
        <w:rPr>
          <w:b/>
          <w:color w:val="7030A0"/>
          <w:sz w:val="36"/>
          <w:szCs w:val="36"/>
        </w:rPr>
        <w:t>Art dramatique</w:t>
      </w:r>
      <w:r w:rsidR="009162E3" w:rsidRPr="00E10FF7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Pr="00E10FF7">
        <w:rPr>
          <w:b/>
          <w:color w:val="7030A0"/>
          <w:sz w:val="36"/>
          <w:szCs w:val="36"/>
        </w:rPr>
        <w:t xml:space="preserve"> 1</w:t>
      </w:r>
      <w:r w:rsidRPr="00E10FF7">
        <w:rPr>
          <w:b/>
          <w:color w:val="7030A0"/>
          <w:sz w:val="36"/>
          <w:szCs w:val="36"/>
          <w:vertAlign w:val="superscript"/>
        </w:rPr>
        <w:t>er</w:t>
      </w:r>
      <w:r w:rsidR="009162E3" w:rsidRPr="00E10FF7">
        <w:rPr>
          <w:b/>
          <w:color w:val="7030A0"/>
          <w:sz w:val="36"/>
          <w:szCs w:val="36"/>
        </w:rPr>
        <w:t xml:space="preserve"> </w:t>
      </w:r>
      <w:r w:rsidR="00081902">
        <w:rPr>
          <w:b/>
          <w:color w:val="7030A0"/>
          <w:sz w:val="36"/>
          <w:szCs w:val="36"/>
        </w:rPr>
        <w:t>et 2</w:t>
      </w:r>
      <w:r w:rsidR="00081902" w:rsidRPr="00081902">
        <w:rPr>
          <w:b/>
          <w:color w:val="7030A0"/>
          <w:sz w:val="36"/>
          <w:szCs w:val="36"/>
          <w:vertAlign w:val="superscript"/>
        </w:rPr>
        <w:t>e</w:t>
      </w:r>
      <w:r w:rsidR="00081902">
        <w:rPr>
          <w:b/>
          <w:color w:val="7030A0"/>
          <w:sz w:val="36"/>
          <w:szCs w:val="36"/>
        </w:rPr>
        <w:t xml:space="preserve"> </w:t>
      </w:r>
      <w:r w:rsidR="009162E3" w:rsidRPr="00E10FF7">
        <w:rPr>
          <w:b/>
          <w:color w:val="7030A0"/>
          <w:sz w:val="36"/>
          <w:szCs w:val="36"/>
        </w:rPr>
        <w:t>cycle</w:t>
      </w:r>
      <w:r w:rsidR="009162E3" w:rsidRPr="00E10FF7">
        <w:rPr>
          <w:b/>
          <w:color w:val="7030A0"/>
          <w:sz w:val="28"/>
          <w:szCs w:val="28"/>
        </w:rPr>
        <w:t xml:space="preserve"> </w:t>
      </w:r>
      <w:r w:rsidR="009162E3" w:rsidRPr="00E10FF7">
        <w:rPr>
          <w:b/>
          <w:color w:val="000000" w:themeColor="text1"/>
          <w:sz w:val="28"/>
          <w:szCs w:val="28"/>
        </w:rPr>
        <w:t>du</w:t>
      </w:r>
      <w:r w:rsidR="009162E3" w:rsidRPr="00081902">
        <w:rPr>
          <w:b/>
          <w:color w:val="7030A0"/>
          <w:sz w:val="28"/>
          <w:szCs w:val="28"/>
        </w:rPr>
        <w:t xml:space="preserve"> </w:t>
      </w:r>
      <w:r w:rsidR="00081902" w:rsidRPr="00081902">
        <w:rPr>
          <w:b/>
          <w:color w:val="7030A0"/>
          <w:sz w:val="28"/>
          <w:szCs w:val="28"/>
        </w:rPr>
        <w:t>secondaire</w:t>
      </w:r>
    </w:p>
    <w:p w:rsidR="00851361" w:rsidRPr="00FB6287" w:rsidRDefault="005B652A" w:rsidP="00FB6287">
      <w:pPr>
        <w:pStyle w:val="En-tte"/>
        <w:spacing w:before="4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C1</w:t>
      </w:r>
      <w:r>
        <w:rPr>
          <w:rFonts w:ascii="Century Gothic" w:hAnsi="Century Gothic"/>
          <w:color w:val="7030A0"/>
          <w:sz w:val="28"/>
        </w:rPr>
        <w:t xml:space="preserve"> </w:t>
      </w:r>
      <w:r w:rsidR="00081902" w:rsidRPr="00081902">
        <w:rPr>
          <w:rFonts w:ascii="Arial Rounded MT Bold" w:hAnsi="Arial Rounded MT Bold"/>
          <w:bCs/>
          <w:i/>
          <w:smallCaps/>
          <w:color w:val="404040" w:themeColor="text1" w:themeTint="BF"/>
          <w:sz w:val="20"/>
          <w:szCs w:val="20"/>
        </w:rPr>
        <w:t>Créer des œuvres dramatiques</w:t>
      </w:r>
      <w:r w:rsidR="00081902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 xml:space="preserve"> </w:t>
      </w:r>
      <w:r w:rsidR="002F66C6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 xml:space="preserve"> </w:t>
      </w:r>
      <w:r w:rsidR="002F66C6" w:rsidRPr="00CA10F2">
        <w:rPr>
          <w:rFonts w:ascii="Century Gothic" w:hAnsi="Century Gothic"/>
          <w:b/>
          <w:color w:val="7030A0"/>
          <w:sz w:val="28"/>
        </w:rPr>
        <w:t>et C2</w:t>
      </w:r>
      <w:r w:rsidR="002F66C6">
        <w:rPr>
          <w:rFonts w:ascii="Century Gothic" w:hAnsi="Century Gothic"/>
          <w:color w:val="7030A0"/>
          <w:sz w:val="28"/>
        </w:rPr>
        <w:t xml:space="preserve"> </w:t>
      </w:r>
      <w:r w:rsidR="00851361" w:rsidRPr="00081902">
        <w:rPr>
          <w:rFonts w:ascii="Arial Rounded MT Bold" w:hAnsi="Arial Rounded MT Bold"/>
          <w:bCs/>
          <w:i/>
          <w:smallCaps/>
          <w:color w:val="404040" w:themeColor="text1" w:themeTint="BF"/>
          <w:sz w:val="20"/>
          <w:szCs w:val="20"/>
        </w:rPr>
        <w:t>I</w:t>
      </w:r>
      <w:r w:rsidR="00081902" w:rsidRPr="00081902">
        <w:rPr>
          <w:rFonts w:ascii="Arial Rounded MT Bold" w:hAnsi="Arial Rounded MT Bold"/>
          <w:bCs/>
          <w:i/>
          <w:smallCaps/>
          <w:color w:val="404040" w:themeColor="text1" w:themeTint="BF"/>
          <w:sz w:val="20"/>
          <w:szCs w:val="20"/>
        </w:rPr>
        <w:t>nterpréter  des œuvres dramatiques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</w:t>
      </w:r>
      <w:r w:rsidR="00EF3669">
        <w:rPr>
          <w:b/>
        </w:rPr>
        <w:t>nt</w:t>
      </w:r>
      <w:r w:rsidRPr="00DA27EB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BB62CB">
        <w:trPr>
          <w:trHeight w:val="360"/>
          <w:tblHeader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116B4C" w:rsidRPr="00B12E46" w:rsidTr="002F66C6">
        <w:tc>
          <w:tcPr>
            <w:tcW w:w="3168" w:type="dxa"/>
          </w:tcPr>
          <w:p w:rsidR="00116B4C" w:rsidRPr="00116B4C" w:rsidRDefault="00116B4C" w:rsidP="00116B4C">
            <w:pPr>
              <w:spacing w:after="40" w:line="240" w:lineRule="auto"/>
              <w:rPr>
                <w:b/>
              </w:rPr>
            </w:pPr>
            <w:r w:rsidRPr="00116B4C">
              <w:rPr>
                <w:b/>
              </w:rPr>
              <w:t>Maîtrise des connaissances ciblées par la progression des apprentissages</w:t>
            </w:r>
            <w:r>
              <w:rPr>
                <w:b/>
              </w:rPr>
              <w:t> :</w:t>
            </w:r>
          </w:p>
          <w:p w:rsidR="00116B4C" w:rsidRPr="00116B4C" w:rsidRDefault="00116B4C" w:rsidP="00116B4C">
            <w:pPr>
              <w:pStyle w:val="Titre"/>
              <w:jc w:val="left"/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</w:rPr>
            </w:pPr>
          </w:p>
          <w:p w:rsidR="00116B4C" w:rsidRPr="00203DE7" w:rsidRDefault="00116B4C" w:rsidP="00116B4C">
            <w:pPr>
              <w:spacing w:line="240" w:lineRule="auto"/>
              <w:rPr>
                <w:i/>
                <w:sz w:val="14"/>
                <w:szCs w:val="14"/>
              </w:rPr>
            </w:pPr>
            <w:r w:rsidRPr="00203DE7">
              <w:rPr>
                <w:b/>
                <w:i/>
                <w:sz w:val="14"/>
                <w:szCs w:val="14"/>
              </w:rPr>
              <w:t>1</w:t>
            </w:r>
            <w:r w:rsidRPr="00203DE7">
              <w:rPr>
                <w:b/>
                <w:i/>
                <w:sz w:val="14"/>
                <w:szCs w:val="14"/>
                <w:vertAlign w:val="superscript"/>
              </w:rPr>
              <w:t>er</w:t>
            </w:r>
            <w:r w:rsidRPr="00203DE7">
              <w:rPr>
                <w:b/>
                <w:i/>
                <w:sz w:val="14"/>
                <w:szCs w:val="14"/>
              </w:rPr>
              <w:t xml:space="preserve"> cycle</w:t>
            </w:r>
            <w:r w:rsidRPr="00203DE7">
              <w:rPr>
                <w:i/>
                <w:sz w:val="14"/>
                <w:szCs w:val="14"/>
              </w:rPr>
              <w:t> (L’élève nomme ou identifie)</w:t>
            </w:r>
            <w:r w:rsidR="005C2ED4" w:rsidRPr="00203DE7">
              <w:rPr>
                <w:i/>
                <w:sz w:val="14"/>
                <w:szCs w:val="14"/>
              </w:rPr>
              <w:t xml:space="preserve"> </w:t>
            </w:r>
            <w:r w:rsidRPr="00203DE7">
              <w:rPr>
                <w:i/>
                <w:sz w:val="14"/>
                <w:szCs w:val="14"/>
              </w:rPr>
              <w:t xml:space="preserve">: </w:t>
            </w:r>
            <w:r w:rsidRPr="00203DE7">
              <w:rPr>
                <w:b/>
                <w:color w:val="000000"/>
                <w:sz w:val="15"/>
                <w:szCs w:val="15"/>
              </w:rPr>
              <w:t xml:space="preserve">jeu, </w:t>
            </w:r>
            <w:r w:rsidRPr="00203DE7">
              <w:rPr>
                <w:b/>
                <w:color w:val="000000"/>
                <w:sz w:val="14"/>
                <w:szCs w:val="14"/>
              </w:rPr>
              <w:t xml:space="preserve">dramaturgie, théâtralité </w:t>
            </w:r>
            <w:r w:rsidRPr="00203DE7">
              <w:rPr>
                <w:i/>
                <w:sz w:val="14"/>
                <w:szCs w:val="14"/>
              </w:rPr>
              <w:t xml:space="preserve"> </w:t>
            </w:r>
          </w:p>
          <w:p w:rsidR="00116B4C" w:rsidRPr="00811D59" w:rsidRDefault="00116B4C" w:rsidP="00116B4C">
            <w:pPr>
              <w:spacing w:line="240" w:lineRule="auto"/>
              <w:rPr>
                <w:i/>
                <w:sz w:val="14"/>
                <w:szCs w:val="14"/>
              </w:rPr>
            </w:pPr>
            <w:r w:rsidRPr="00203DE7">
              <w:rPr>
                <w:b/>
                <w:i/>
                <w:sz w:val="14"/>
                <w:szCs w:val="14"/>
              </w:rPr>
              <w:t>2</w:t>
            </w:r>
            <w:r w:rsidRPr="00203DE7">
              <w:rPr>
                <w:b/>
                <w:i/>
                <w:sz w:val="14"/>
                <w:szCs w:val="14"/>
                <w:vertAlign w:val="superscript"/>
              </w:rPr>
              <w:t>e</w:t>
            </w:r>
            <w:r w:rsidRPr="00203DE7">
              <w:rPr>
                <w:b/>
                <w:i/>
                <w:sz w:val="14"/>
                <w:szCs w:val="14"/>
              </w:rPr>
              <w:t xml:space="preserve"> cycle</w:t>
            </w:r>
            <w:r w:rsidRPr="00203DE7">
              <w:rPr>
                <w:i/>
                <w:sz w:val="14"/>
                <w:szCs w:val="14"/>
              </w:rPr>
              <w:t xml:space="preserve"> (L’élève identifie ou décrit) : </w:t>
            </w:r>
            <w:r w:rsidRPr="00203DE7">
              <w:rPr>
                <w:rFonts w:cs="Arial"/>
                <w:b/>
                <w:sz w:val="14"/>
                <w:szCs w:val="14"/>
              </w:rPr>
              <w:t>jeu dramatique, structure dramatique, structure théâtrale, répertoire dramatique et repères culturels</w:t>
            </w:r>
            <w:r w:rsidRPr="0049168D">
              <w:rPr>
                <w:rFonts w:ascii="Century Gothic" w:hAnsi="Century Gothic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83" w:type="dxa"/>
          </w:tcPr>
          <w:p w:rsidR="00116B4C" w:rsidRPr="00116B4C" w:rsidRDefault="00116B4C" w:rsidP="002F66C6">
            <w:pPr>
              <w:spacing w:after="0" w:line="240" w:lineRule="auto"/>
              <w:rPr>
                <w:sz w:val="19"/>
                <w:szCs w:val="19"/>
              </w:rPr>
            </w:pPr>
            <w:r w:rsidRPr="00116B4C">
              <w:rPr>
                <w:sz w:val="19"/>
                <w:szCs w:val="19"/>
              </w:rPr>
              <w:t>L’élève nomme, identifie ou décrit tous les éléments du contenu de formation qui sont ciblés dans sa tâche d’interprétation ou de création.</w:t>
            </w:r>
          </w:p>
        </w:tc>
        <w:tc>
          <w:tcPr>
            <w:tcW w:w="2183" w:type="dxa"/>
          </w:tcPr>
          <w:p w:rsidR="00116B4C" w:rsidRPr="00116B4C" w:rsidRDefault="00116B4C" w:rsidP="002F66C6">
            <w:pPr>
              <w:spacing w:after="0" w:line="240" w:lineRule="auto"/>
              <w:rPr>
                <w:sz w:val="19"/>
                <w:szCs w:val="19"/>
              </w:rPr>
            </w:pPr>
            <w:r w:rsidRPr="00116B4C">
              <w:rPr>
                <w:sz w:val="19"/>
                <w:szCs w:val="19"/>
              </w:rPr>
              <w:t>L’élève nomme, identifie ou décrit la plupart des éléments du contenu de formation qui sont ciblés dans sa tâche d’interprétation ou de création.</w:t>
            </w:r>
          </w:p>
        </w:tc>
        <w:tc>
          <w:tcPr>
            <w:tcW w:w="2183" w:type="dxa"/>
          </w:tcPr>
          <w:p w:rsidR="00116B4C" w:rsidRPr="00116B4C" w:rsidRDefault="00116B4C" w:rsidP="002F66C6">
            <w:pPr>
              <w:spacing w:after="0" w:line="240" w:lineRule="auto"/>
              <w:rPr>
                <w:sz w:val="19"/>
                <w:szCs w:val="19"/>
              </w:rPr>
            </w:pPr>
            <w:r w:rsidRPr="00116B4C">
              <w:rPr>
                <w:sz w:val="19"/>
                <w:szCs w:val="19"/>
              </w:rPr>
              <w:t>L’élève nomme, identifie ou décrit quelques éléments du contenu de formation qui sont ciblés dans sa tâche d’interprétation ou de création.</w:t>
            </w:r>
          </w:p>
        </w:tc>
        <w:tc>
          <w:tcPr>
            <w:tcW w:w="2184" w:type="dxa"/>
          </w:tcPr>
          <w:p w:rsidR="00116B4C" w:rsidRPr="00116B4C" w:rsidRDefault="00116B4C" w:rsidP="002F66C6">
            <w:pPr>
              <w:spacing w:after="0" w:line="240" w:lineRule="auto"/>
              <w:rPr>
                <w:sz w:val="19"/>
                <w:szCs w:val="19"/>
              </w:rPr>
            </w:pPr>
            <w:r w:rsidRPr="00116B4C">
              <w:rPr>
                <w:sz w:val="19"/>
                <w:szCs w:val="19"/>
              </w:rPr>
              <w:t>L’élève nomme, identifie ou décrit peu d’éléments du contenu de formation qui sont ciblés dans sa tâche d’interprétation ou de création.</w:t>
            </w:r>
          </w:p>
        </w:tc>
        <w:tc>
          <w:tcPr>
            <w:tcW w:w="2184" w:type="dxa"/>
          </w:tcPr>
          <w:p w:rsidR="00116B4C" w:rsidRPr="00116B4C" w:rsidRDefault="00116B4C" w:rsidP="002F66C6">
            <w:pPr>
              <w:spacing w:after="0" w:line="240" w:lineRule="auto"/>
              <w:rPr>
                <w:sz w:val="19"/>
                <w:szCs w:val="19"/>
              </w:rPr>
            </w:pPr>
            <w:r w:rsidRPr="00116B4C">
              <w:rPr>
                <w:sz w:val="19"/>
                <w:szCs w:val="19"/>
              </w:rPr>
              <w:t>L’élève nomme, identifie ou décrit très peu ou aucun des éléments du contenu de formation qui sont ciblés dans sa tâche d’interprétation ou de création.</w:t>
            </w:r>
          </w:p>
        </w:tc>
      </w:tr>
      <w:tr w:rsidR="00851361" w:rsidRPr="00B12E46" w:rsidTr="006529ED">
        <w:tc>
          <w:tcPr>
            <w:tcW w:w="3168" w:type="dxa"/>
          </w:tcPr>
          <w:p w:rsidR="002F66C6" w:rsidRPr="002F66C6" w:rsidRDefault="002F66C6" w:rsidP="002F66C6">
            <w:pPr>
              <w:spacing w:after="40" w:line="240" w:lineRule="auto"/>
              <w:rPr>
                <w:b/>
              </w:rPr>
            </w:pPr>
            <w:r w:rsidRPr="002F66C6">
              <w:rPr>
                <w:b/>
              </w:rPr>
              <w:t>Efficacité de l’utilisation des connaissances liées au langage dramatique et aux techniques en fonction du cycle</w:t>
            </w:r>
            <w:r>
              <w:rPr>
                <w:b/>
              </w:rPr>
              <w:t> :</w:t>
            </w:r>
          </w:p>
          <w:p w:rsidR="002F66C6" w:rsidRPr="002F66C6" w:rsidRDefault="002F66C6" w:rsidP="002F66C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2F66C6">
              <w:rPr>
                <w:sz w:val="15"/>
                <w:szCs w:val="15"/>
              </w:rPr>
              <w:t>Pertinence des éléments du langage dramatique et des éléments de techniques</w:t>
            </w:r>
          </w:p>
          <w:p w:rsidR="00851361" w:rsidRPr="002F66C6" w:rsidRDefault="002F66C6" w:rsidP="002F66C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2F66C6">
              <w:rPr>
                <w:sz w:val="15"/>
                <w:szCs w:val="15"/>
              </w:rPr>
              <w:t>Modalités d’utilisation des éléments du langage dramatique et des éléments de techniques</w:t>
            </w:r>
          </w:p>
        </w:tc>
        <w:tc>
          <w:tcPr>
            <w:tcW w:w="2183" w:type="dxa"/>
          </w:tcPr>
          <w:p w:rsidR="00851361" w:rsidRPr="00B12E46" w:rsidRDefault="00851361" w:rsidP="002F66C6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utilise de manière </w:t>
            </w:r>
            <w:r w:rsidR="00A17C22" w:rsidRPr="00B12E46">
              <w:rPr>
                <w:sz w:val="19"/>
                <w:szCs w:val="19"/>
              </w:rPr>
              <w:t xml:space="preserve">appropriée </w:t>
            </w:r>
            <w:r w:rsidRPr="00B12E46">
              <w:rPr>
                <w:sz w:val="19"/>
                <w:szCs w:val="19"/>
              </w:rPr>
              <w:t>les éléments du langage dramatique</w:t>
            </w:r>
            <w:r w:rsidRPr="002F66C6">
              <w:rPr>
                <w:sz w:val="19"/>
                <w:szCs w:val="19"/>
              </w:rPr>
              <w:t xml:space="preserve"> liés au personnage et à l’action dramatique tout au long de la séquence</w:t>
            </w:r>
            <w:r w:rsidR="00675249" w:rsidRPr="002F66C6">
              <w:rPr>
                <w:sz w:val="19"/>
                <w:szCs w:val="19"/>
              </w:rPr>
              <w:t>.</w:t>
            </w:r>
          </w:p>
        </w:tc>
        <w:tc>
          <w:tcPr>
            <w:tcW w:w="2183" w:type="dxa"/>
            <w:shd w:val="clear" w:color="auto" w:fill="auto"/>
          </w:tcPr>
          <w:p w:rsidR="00851361" w:rsidRPr="006529ED" w:rsidRDefault="00851361" w:rsidP="002F66C6">
            <w:pPr>
              <w:spacing w:after="0" w:line="240" w:lineRule="auto"/>
              <w:rPr>
                <w:sz w:val="19"/>
                <w:szCs w:val="19"/>
              </w:rPr>
            </w:pPr>
            <w:r w:rsidRPr="006529ED">
              <w:rPr>
                <w:sz w:val="19"/>
                <w:szCs w:val="19"/>
              </w:rPr>
              <w:t>L’élève utilise de manière appropriée la plupart des éléments du langage dramatique liés au personnage et à l’action dramatique au cours de la séquence.</w:t>
            </w:r>
          </w:p>
        </w:tc>
        <w:tc>
          <w:tcPr>
            <w:tcW w:w="2183" w:type="dxa"/>
            <w:shd w:val="clear" w:color="auto" w:fill="auto"/>
          </w:tcPr>
          <w:p w:rsidR="00851361" w:rsidRPr="006529ED" w:rsidRDefault="00851361" w:rsidP="002F66C6">
            <w:pPr>
              <w:spacing w:after="0" w:line="240" w:lineRule="auto"/>
              <w:rPr>
                <w:sz w:val="19"/>
                <w:szCs w:val="19"/>
              </w:rPr>
            </w:pPr>
            <w:r w:rsidRPr="006529ED">
              <w:rPr>
                <w:sz w:val="19"/>
                <w:szCs w:val="19"/>
              </w:rPr>
              <w:t xml:space="preserve">L’élève utilise de manière </w:t>
            </w:r>
            <w:r w:rsidR="00A17C22" w:rsidRPr="006529ED">
              <w:rPr>
                <w:sz w:val="19"/>
                <w:szCs w:val="19"/>
              </w:rPr>
              <w:t xml:space="preserve">appropriée </w:t>
            </w:r>
            <w:r w:rsidRPr="006529ED">
              <w:rPr>
                <w:sz w:val="19"/>
                <w:szCs w:val="19"/>
              </w:rPr>
              <w:t>certains éléments du langage dramatique liés au personnage et à l’action dramatique au cours de la séquence.</w:t>
            </w:r>
          </w:p>
        </w:tc>
        <w:tc>
          <w:tcPr>
            <w:tcW w:w="2184" w:type="dxa"/>
            <w:shd w:val="clear" w:color="auto" w:fill="auto"/>
          </w:tcPr>
          <w:p w:rsidR="00851361" w:rsidRPr="006529ED" w:rsidRDefault="00851361" w:rsidP="002F66C6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19"/>
                <w:szCs w:val="19"/>
              </w:rPr>
            </w:pPr>
            <w:r w:rsidRPr="006529ED">
              <w:rPr>
                <w:rFonts w:asciiTheme="minorHAnsi" w:eastAsiaTheme="minorHAnsi" w:hAnsiTheme="minorHAnsi" w:cstheme="minorBidi"/>
                <w:color w:val="auto"/>
                <w:sz w:val="19"/>
                <w:szCs w:val="19"/>
              </w:rPr>
              <w:t>L’élève utilise peu</w:t>
            </w:r>
          </w:p>
          <w:p w:rsidR="00851361" w:rsidRPr="006529ED" w:rsidRDefault="00851361" w:rsidP="002F66C6">
            <w:pPr>
              <w:spacing w:after="0" w:line="240" w:lineRule="auto"/>
              <w:rPr>
                <w:sz w:val="19"/>
                <w:szCs w:val="19"/>
              </w:rPr>
            </w:pPr>
            <w:r w:rsidRPr="006529ED">
              <w:rPr>
                <w:sz w:val="19"/>
                <w:szCs w:val="19"/>
              </w:rPr>
              <w:t>d’éléments du langage dramatique liés au personnage et à l’action dramatique lors de la séquence.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851361" w:rsidRPr="002F66C6" w:rsidRDefault="00851361" w:rsidP="002F66C6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19"/>
                <w:szCs w:val="19"/>
              </w:rPr>
            </w:pPr>
            <w:r w:rsidRPr="002F66C6">
              <w:rPr>
                <w:rFonts w:asciiTheme="minorHAnsi" w:eastAsiaTheme="minorHAnsi" w:hAnsiTheme="minorHAnsi" w:cstheme="minorBidi"/>
                <w:color w:val="auto"/>
                <w:sz w:val="19"/>
                <w:szCs w:val="19"/>
              </w:rPr>
              <w:t>L’élève utilise très peu ou aucun</w:t>
            </w:r>
            <w:r w:rsidR="00F057A4" w:rsidRPr="002F66C6">
              <w:rPr>
                <w:rFonts w:asciiTheme="minorHAnsi" w:eastAsiaTheme="minorHAnsi" w:hAnsiTheme="minorHAnsi" w:cstheme="minorBidi"/>
                <w:color w:val="auto"/>
                <w:sz w:val="19"/>
                <w:szCs w:val="19"/>
              </w:rPr>
              <w:t xml:space="preserve"> </w:t>
            </w:r>
            <w:r w:rsidRPr="002F66C6">
              <w:rPr>
                <w:rFonts w:asciiTheme="minorHAnsi" w:eastAsiaTheme="minorHAnsi" w:hAnsiTheme="minorHAnsi" w:cstheme="minorBidi"/>
                <w:color w:val="auto"/>
                <w:sz w:val="19"/>
                <w:szCs w:val="19"/>
              </w:rPr>
              <w:t>des éléments du langage dramatique liés au personnage et à l’action dramatique.</w:t>
            </w:r>
          </w:p>
        </w:tc>
      </w:tr>
      <w:tr w:rsidR="00717E2E" w:rsidRPr="00B12E46" w:rsidTr="006529ED">
        <w:tc>
          <w:tcPr>
            <w:tcW w:w="3168" w:type="dxa"/>
            <w:vMerge w:val="restart"/>
          </w:tcPr>
          <w:p w:rsidR="00717E2E" w:rsidRPr="00521059" w:rsidRDefault="00717E2E" w:rsidP="00521059">
            <w:pPr>
              <w:spacing w:after="40" w:line="240" w:lineRule="auto"/>
              <w:rPr>
                <w:b/>
              </w:rPr>
            </w:pPr>
            <w:r w:rsidRPr="00521059">
              <w:rPr>
                <w:b/>
              </w:rPr>
              <w:t xml:space="preserve">Cohérence de l’organisation des éléments : </w:t>
            </w:r>
          </w:p>
          <w:p w:rsidR="00717E2E" w:rsidRPr="00521059" w:rsidRDefault="00717E2E" w:rsidP="005210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521059">
              <w:rPr>
                <w:sz w:val="15"/>
                <w:szCs w:val="15"/>
              </w:rPr>
              <w:t>Mise en forme des éléments du langage dramatique et des idées</w:t>
            </w:r>
          </w:p>
          <w:p w:rsidR="00717E2E" w:rsidRPr="008C4334" w:rsidRDefault="00717E2E" w:rsidP="005210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521059">
              <w:rPr>
                <w:sz w:val="15"/>
                <w:szCs w:val="15"/>
              </w:rPr>
              <w:t>Relation entre la production et la proposition de départ</w:t>
            </w:r>
            <w:r>
              <w:rPr>
                <w:rFonts w:ascii="Century Gothic" w:hAnsi="Century Gothic"/>
                <w:i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183" w:type="dxa"/>
          </w:tcPr>
          <w:p w:rsidR="00717E2E" w:rsidRPr="00987E05" w:rsidRDefault="00717E2E" w:rsidP="00717E2E">
            <w:pPr>
              <w:spacing w:after="0" w:line="240" w:lineRule="auto"/>
              <w:rPr>
                <w:sz w:val="19"/>
                <w:szCs w:val="19"/>
              </w:rPr>
            </w:pPr>
            <w:r w:rsidRPr="00987E05">
              <w:rPr>
                <w:sz w:val="19"/>
                <w:szCs w:val="19"/>
              </w:rPr>
              <w:t xml:space="preserve">L’élève organise ses choix de façon pertinente et élaborée. </w:t>
            </w:r>
          </w:p>
        </w:tc>
        <w:tc>
          <w:tcPr>
            <w:tcW w:w="2183" w:type="dxa"/>
          </w:tcPr>
          <w:p w:rsidR="00717E2E" w:rsidRPr="00987E05" w:rsidRDefault="00717E2E" w:rsidP="00717E2E">
            <w:pPr>
              <w:spacing w:after="0" w:line="240" w:lineRule="auto"/>
              <w:rPr>
                <w:sz w:val="19"/>
                <w:szCs w:val="19"/>
              </w:rPr>
            </w:pPr>
            <w:r w:rsidRPr="00987E05">
              <w:rPr>
                <w:sz w:val="19"/>
                <w:szCs w:val="19"/>
              </w:rPr>
              <w:t>L’élève organise ses choix de façon pertinente.</w:t>
            </w:r>
          </w:p>
        </w:tc>
        <w:tc>
          <w:tcPr>
            <w:tcW w:w="2183" w:type="dxa"/>
          </w:tcPr>
          <w:p w:rsidR="00717E2E" w:rsidRPr="00895115" w:rsidRDefault="00717E2E" w:rsidP="00717E2E">
            <w:pPr>
              <w:spacing w:after="0" w:line="240" w:lineRule="auto"/>
              <w:rPr>
                <w:sz w:val="19"/>
                <w:szCs w:val="19"/>
              </w:rPr>
            </w:pPr>
            <w:r w:rsidRPr="00895115">
              <w:rPr>
                <w:sz w:val="19"/>
                <w:szCs w:val="19"/>
              </w:rPr>
              <w:t>L’élève organise sommairement ses choix.</w:t>
            </w:r>
          </w:p>
          <w:p w:rsidR="00717E2E" w:rsidRPr="00895115" w:rsidRDefault="00717E2E" w:rsidP="00987E0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84" w:type="dxa"/>
            <w:shd w:val="clear" w:color="auto" w:fill="auto"/>
          </w:tcPr>
          <w:p w:rsidR="00717E2E" w:rsidRPr="00895115" w:rsidRDefault="00717E2E" w:rsidP="00717E2E">
            <w:pPr>
              <w:spacing w:after="0" w:line="240" w:lineRule="auto"/>
              <w:rPr>
                <w:sz w:val="19"/>
                <w:szCs w:val="19"/>
              </w:rPr>
            </w:pPr>
            <w:r w:rsidRPr="00895115">
              <w:rPr>
                <w:sz w:val="19"/>
                <w:szCs w:val="19"/>
              </w:rPr>
              <w:t xml:space="preserve">L’élève organise difficilement ses idées. </w:t>
            </w:r>
          </w:p>
          <w:p w:rsidR="00717E2E" w:rsidRPr="00895115" w:rsidRDefault="00717E2E" w:rsidP="00987E0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84" w:type="dxa"/>
            <w:tcBorders>
              <w:bottom w:val="nil"/>
            </w:tcBorders>
            <w:shd w:val="clear" w:color="auto" w:fill="auto"/>
          </w:tcPr>
          <w:p w:rsidR="00717E2E" w:rsidRPr="00895115" w:rsidRDefault="00717E2E" w:rsidP="00987E05">
            <w:pPr>
              <w:spacing w:after="0" w:line="240" w:lineRule="auto"/>
              <w:rPr>
                <w:sz w:val="19"/>
                <w:szCs w:val="19"/>
              </w:rPr>
            </w:pPr>
            <w:r w:rsidRPr="00895115">
              <w:rPr>
                <w:sz w:val="19"/>
                <w:szCs w:val="19"/>
              </w:rPr>
              <w:t>L’élève organise peu ou pas ses idées.</w:t>
            </w:r>
          </w:p>
          <w:p w:rsidR="00717E2E" w:rsidRPr="00895115" w:rsidRDefault="00717E2E" w:rsidP="00987E0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17E2E" w:rsidRPr="00B12E46" w:rsidTr="006529ED">
        <w:tc>
          <w:tcPr>
            <w:tcW w:w="3168" w:type="dxa"/>
            <w:vMerge/>
            <w:vAlign w:val="center"/>
          </w:tcPr>
          <w:p w:rsidR="00717E2E" w:rsidRPr="00521059" w:rsidRDefault="00717E2E" w:rsidP="00521059">
            <w:pPr>
              <w:spacing w:after="40" w:line="240" w:lineRule="auto"/>
              <w:rPr>
                <w:b/>
              </w:rPr>
            </w:pPr>
          </w:p>
        </w:tc>
        <w:tc>
          <w:tcPr>
            <w:tcW w:w="2183" w:type="dxa"/>
          </w:tcPr>
          <w:p w:rsidR="00717E2E" w:rsidRPr="00987E05" w:rsidRDefault="00717E2E" w:rsidP="00717E2E">
            <w:pPr>
              <w:spacing w:after="0" w:line="240" w:lineRule="auto"/>
              <w:rPr>
                <w:sz w:val="19"/>
                <w:szCs w:val="19"/>
              </w:rPr>
            </w:pPr>
            <w:r w:rsidRPr="00987E05">
              <w:rPr>
                <w:sz w:val="19"/>
                <w:szCs w:val="19"/>
              </w:rPr>
              <w:t>L’élève structure une séquence dramatique de façon à mettre en valeur les éléments de la proposition de création.</w:t>
            </w:r>
          </w:p>
        </w:tc>
        <w:tc>
          <w:tcPr>
            <w:tcW w:w="2183" w:type="dxa"/>
          </w:tcPr>
          <w:p w:rsidR="00717E2E" w:rsidRPr="00987E05" w:rsidRDefault="00717E2E" w:rsidP="00717E2E">
            <w:pPr>
              <w:spacing w:after="0" w:line="240" w:lineRule="auto"/>
              <w:rPr>
                <w:sz w:val="19"/>
                <w:szCs w:val="19"/>
              </w:rPr>
            </w:pPr>
            <w:r w:rsidRPr="00987E05">
              <w:rPr>
                <w:sz w:val="19"/>
                <w:szCs w:val="19"/>
              </w:rPr>
              <w:t>L’élève structure une séquence dramatique en respectant la plupart  des éléments de la proposition  de création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2183" w:type="dxa"/>
          </w:tcPr>
          <w:p w:rsidR="00717E2E" w:rsidRPr="00987E05" w:rsidRDefault="00717E2E" w:rsidP="00717E2E">
            <w:pPr>
              <w:spacing w:after="0" w:line="240" w:lineRule="auto"/>
              <w:rPr>
                <w:sz w:val="19"/>
                <w:szCs w:val="19"/>
              </w:rPr>
            </w:pPr>
            <w:r w:rsidRPr="00895115">
              <w:rPr>
                <w:sz w:val="19"/>
                <w:szCs w:val="19"/>
              </w:rPr>
              <w:t>L’élève  structure une séquence dramatique en respectant quelques éléments de la proposition  de création.</w:t>
            </w:r>
          </w:p>
        </w:tc>
        <w:tc>
          <w:tcPr>
            <w:tcW w:w="2184" w:type="dxa"/>
          </w:tcPr>
          <w:p w:rsidR="00717E2E" w:rsidRPr="00987E05" w:rsidRDefault="00717E2E" w:rsidP="00717E2E">
            <w:pPr>
              <w:spacing w:after="0" w:line="240" w:lineRule="auto"/>
              <w:rPr>
                <w:sz w:val="19"/>
                <w:szCs w:val="19"/>
              </w:rPr>
            </w:pPr>
            <w:r w:rsidRPr="00895115">
              <w:rPr>
                <w:sz w:val="19"/>
                <w:szCs w:val="19"/>
              </w:rPr>
              <w:t>L’élève  structure une séquence dramatique  ayant peu de liens avec les éléments de la proposition  de création.</w:t>
            </w:r>
          </w:p>
        </w:tc>
        <w:tc>
          <w:tcPr>
            <w:tcW w:w="2184" w:type="dxa"/>
            <w:tcBorders>
              <w:top w:val="nil"/>
            </w:tcBorders>
          </w:tcPr>
          <w:p w:rsidR="00717E2E" w:rsidRPr="00987E05" w:rsidRDefault="00717E2E" w:rsidP="00987E0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F66C6" w:rsidRPr="00B12E46" w:rsidTr="00987E05">
        <w:tc>
          <w:tcPr>
            <w:tcW w:w="3168" w:type="dxa"/>
            <w:vAlign w:val="center"/>
          </w:tcPr>
          <w:p w:rsidR="002F66C6" w:rsidRPr="00521059" w:rsidRDefault="002F66C6" w:rsidP="00521059">
            <w:pPr>
              <w:spacing w:after="40" w:line="240" w:lineRule="auto"/>
              <w:rPr>
                <w:b/>
              </w:rPr>
            </w:pPr>
            <w:r w:rsidRPr="00521059">
              <w:rPr>
                <w:b/>
              </w:rPr>
              <w:t>Authenticité de la production : </w:t>
            </w:r>
          </w:p>
          <w:p w:rsidR="002F66C6" w:rsidRPr="00521059" w:rsidRDefault="002F66C6" w:rsidP="005210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521059">
              <w:rPr>
                <w:sz w:val="15"/>
                <w:szCs w:val="15"/>
              </w:rPr>
              <w:t>Absence de clichés</w:t>
            </w:r>
          </w:p>
          <w:p w:rsidR="002F66C6" w:rsidRPr="00521059" w:rsidRDefault="002F66C6" w:rsidP="005210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521059">
              <w:rPr>
                <w:sz w:val="15"/>
                <w:szCs w:val="15"/>
              </w:rPr>
              <w:t>Présence d’éléments originaux</w:t>
            </w:r>
            <w:r w:rsidRPr="008C4334">
              <w:rPr>
                <w:sz w:val="15"/>
                <w:szCs w:val="15"/>
              </w:rPr>
              <w:t xml:space="preserve"> </w:t>
            </w:r>
          </w:p>
          <w:p w:rsidR="002F66C6" w:rsidRPr="008C4334" w:rsidRDefault="002F66C6" w:rsidP="005E3BBB">
            <w:pPr>
              <w:autoSpaceDE w:val="0"/>
              <w:autoSpaceDN w:val="0"/>
              <w:adjustRightInd w:val="0"/>
              <w:spacing w:after="80"/>
              <w:rPr>
                <w:i/>
                <w:sz w:val="16"/>
                <w:szCs w:val="16"/>
              </w:rPr>
            </w:pPr>
          </w:p>
        </w:tc>
        <w:tc>
          <w:tcPr>
            <w:tcW w:w="2183" w:type="dxa"/>
          </w:tcPr>
          <w:p w:rsidR="002F66C6" w:rsidRPr="00987E05" w:rsidRDefault="002F66C6" w:rsidP="00987E05">
            <w:pPr>
              <w:spacing w:after="0" w:line="240" w:lineRule="auto"/>
              <w:rPr>
                <w:sz w:val="19"/>
                <w:szCs w:val="19"/>
              </w:rPr>
            </w:pPr>
            <w:r w:rsidRPr="00987E05">
              <w:rPr>
                <w:sz w:val="19"/>
                <w:szCs w:val="19"/>
              </w:rPr>
              <w:t>L’élève exploite de façon originale  et personnelle les éléments du langage dramatique.</w:t>
            </w:r>
          </w:p>
        </w:tc>
        <w:tc>
          <w:tcPr>
            <w:tcW w:w="2183" w:type="dxa"/>
          </w:tcPr>
          <w:p w:rsidR="002F66C6" w:rsidRPr="00987E05" w:rsidRDefault="002F66C6" w:rsidP="00987E05">
            <w:pPr>
              <w:spacing w:after="0" w:line="240" w:lineRule="auto"/>
              <w:rPr>
                <w:sz w:val="19"/>
                <w:szCs w:val="19"/>
              </w:rPr>
            </w:pPr>
            <w:r w:rsidRPr="00987E05">
              <w:rPr>
                <w:sz w:val="19"/>
                <w:szCs w:val="19"/>
              </w:rPr>
              <w:t>L’élève exploite de manière inventive des éléments du langage dramatique.</w:t>
            </w:r>
          </w:p>
        </w:tc>
        <w:tc>
          <w:tcPr>
            <w:tcW w:w="2183" w:type="dxa"/>
          </w:tcPr>
          <w:p w:rsidR="002F66C6" w:rsidRPr="00987E05" w:rsidRDefault="002F66C6" w:rsidP="00987E05">
            <w:pPr>
              <w:spacing w:after="0" w:line="240" w:lineRule="auto"/>
              <w:rPr>
                <w:sz w:val="19"/>
                <w:szCs w:val="19"/>
              </w:rPr>
            </w:pPr>
            <w:r w:rsidRPr="00987E05">
              <w:rPr>
                <w:sz w:val="19"/>
                <w:szCs w:val="19"/>
              </w:rPr>
              <w:t>L’élève utilise des éléments du langage dramatique en proposant quelques  idées nouvelles.</w:t>
            </w:r>
          </w:p>
        </w:tc>
        <w:tc>
          <w:tcPr>
            <w:tcW w:w="2184" w:type="dxa"/>
          </w:tcPr>
          <w:p w:rsidR="002F66C6" w:rsidRPr="00987E05" w:rsidRDefault="002F66C6" w:rsidP="00987E05">
            <w:pPr>
              <w:spacing w:after="0" w:line="240" w:lineRule="auto"/>
              <w:rPr>
                <w:sz w:val="19"/>
                <w:szCs w:val="19"/>
              </w:rPr>
            </w:pPr>
            <w:r w:rsidRPr="00987E05">
              <w:rPr>
                <w:sz w:val="19"/>
                <w:szCs w:val="19"/>
              </w:rPr>
              <w:t xml:space="preserve">L’élève utilise des éléments du langage dramatique en ayant recours à des clichés ou des stéréotypes. </w:t>
            </w:r>
          </w:p>
        </w:tc>
        <w:tc>
          <w:tcPr>
            <w:tcW w:w="2184" w:type="dxa"/>
          </w:tcPr>
          <w:p w:rsidR="002F66C6" w:rsidRPr="00987E05" w:rsidRDefault="002F66C6" w:rsidP="00987E05">
            <w:pPr>
              <w:spacing w:after="0" w:line="240" w:lineRule="auto"/>
              <w:rPr>
                <w:sz w:val="19"/>
                <w:szCs w:val="19"/>
              </w:rPr>
            </w:pPr>
            <w:r w:rsidRPr="00987E05">
              <w:rPr>
                <w:sz w:val="19"/>
                <w:szCs w:val="19"/>
              </w:rPr>
              <w:t>L’élève utilise presque exclusivement des clichés ou des stéréotypes.</w:t>
            </w:r>
          </w:p>
        </w:tc>
      </w:tr>
      <w:tr w:rsidR="002F66C6" w:rsidRPr="00071E53" w:rsidTr="00BB62CB">
        <w:trPr>
          <w:cantSplit/>
        </w:trPr>
        <w:tc>
          <w:tcPr>
            <w:tcW w:w="3168" w:type="dxa"/>
          </w:tcPr>
          <w:p w:rsidR="002F66C6" w:rsidRPr="00521059" w:rsidRDefault="002F66C6" w:rsidP="00521059">
            <w:pPr>
              <w:spacing w:after="40" w:line="240" w:lineRule="auto"/>
              <w:rPr>
                <w:b/>
              </w:rPr>
            </w:pPr>
            <w:r w:rsidRPr="00521059">
              <w:rPr>
                <w:b/>
              </w:rPr>
              <w:lastRenderedPageBreak/>
              <w:t>Respect des caractéristiques de l’œuvre :</w:t>
            </w:r>
          </w:p>
          <w:p w:rsidR="002F66C6" w:rsidRPr="00521059" w:rsidRDefault="002F66C6" w:rsidP="005210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521059">
              <w:rPr>
                <w:sz w:val="15"/>
                <w:szCs w:val="15"/>
              </w:rPr>
              <w:t>Application des conventions relatives à l’unité de jeu</w:t>
            </w:r>
          </w:p>
          <w:p w:rsidR="002F66C6" w:rsidRPr="008C4334" w:rsidRDefault="00521059" w:rsidP="0052105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</w:t>
            </w:r>
            <w:r w:rsidR="002F66C6" w:rsidRPr="00521059">
              <w:rPr>
                <w:sz w:val="15"/>
                <w:szCs w:val="15"/>
              </w:rPr>
              <w:t>résence d’éléments liés au caractère expressif de l’oeuvre</w:t>
            </w:r>
            <w:r w:rsidR="002F66C6">
              <w:rPr>
                <w:i/>
                <w:sz w:val="15"/>
                <w:szCs w:val="15"/>
              </w:rPr>
              <w:t xml:space="preserve"> </w:t>
            </w:r>
          </w:p>
        </w:tc>
        <w:tc>
          <w:tcPr>
            <w:tcW w:w="2183" w:type="dxa"/>
          </w:tcPr>
          <w:p w:rsidR="002F66C6" w:rsidRPr="00403778" w:rsidRDefault="002F66C6" w:rsidP="00403778">
            <w:pPr>
              <w:pStyle w:val="En-tte"/>
              <w:spacing w:after="40"/>
              <w:rPr>
                <w:sz w:val="19"/>
                <w:szCs w:val="19"/>
              </w:rPr>
            </w:pPr>
            <w:r w:rsidRPr="00403778">
              <w:rPr>
                <w:sz w:val="19"/>
                <w:szCs w:val="19"/>
              </w:rPr>
              <w:t>L’élève :</w:t>
            </w:r>
          </w:p>
          <w:p w:rsidR="002F66C6" w:rsidRPr="00403778" w:rsidRDefault="002F66C6" w:rsidP="00403778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>s’approprie les  caractéristiques du personnage;</w:t>
            </w:r>
          </w:p>
          <w:p w:rsidR="002F66C6" w:rsidRPr="00403778" w:rsidRDefault="002F66C6" w:rsidP="00403778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>met l’œuvre en valeur;</w:t>
            </w:r>
          </w:p>
          <w:p w:rsidR="002F66C6" w:rsidRPr="00403778" w:rsidRDefault="002F66C6" w:rsidP="00403778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 xml:space="preserve">respecte les  conventions de jeu établies. </w:t>
            </w:r>
          </w:p>
        </w:tc>
        <w:tc>
          <w:tcPr>
            <w:tcW w:w="2183" w:type="dxa"/>
          </w:tcPr>
          <w:p w:rsidR="002F66C6" w:rsidRPr="00403778" w:rsidRDefault="002F66C6" w:rsidP="00403778">
            <w:pPr>
              <w:pStyle w:val="En-tte"/>
              <w:spacing w:after="40"/>
              <w:rPr>
                <w:sz w:val="15"/>
                <w:szCs w:val="15"/>
              </w:rPr>
            </w:pPr>
            <w:r w:rsidRPr="00403778">
              <w:rPr>
                <w:sz w:val="19"/>
                <w:szCs w:val="19"/>
              </w:rPr>
              <w:t>L’élève</w:t>
            </w:r>
            <w:r w:rsidRPr="00403778">
              <w:rPr>
                <w:sz w:val="15"/>
                <w:szCs w:val="15"/>
              </w:rPr>
              <w:t> :</w:t>
            </w:r>
          </w:p>
          <w:p w:rsidR="002F66C6" w:rsidRPr="00403778" w:rsidRDefault="002F66C6" w:rsidP="00403778">
            <w:pPr>
              <w:pStyle w:val="En-tte"/>
              <w:numPr>
                <w:ilvl w:val="0"/>
                <w:numId w:val="9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>intègre la plupart des caractéristiques du personnage ;</w:t>
            </w:r>
          </w:p>
          <w:p w:rsidR="002F66C6" w:rsidRPr="00403778" w:rsidRDefault="002F66C6" w:rsidP="00403778">
            <w:pPr>
              <w:pStyle w:val="En-tte"/>
              <w:numPr>
                <w:ilvl w:val="0"/>
                <w:numId w:val="9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>respecte  le caractère expressif de l’œuvre;</w:t>
            </w:r>
          </w:p>
          <w:p w:rsidR="002F66C6" w:rsidRPr="00403778" w:rsidRDefault="002F66C6" w:rsidP="00403778">
            <w:pPr>
              <w:pStyle w:val="En-tte"/>
              <w:numPr>
                <w:ilvl w:val="0"/>
                <w:numId w:val="9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 xml:space="preserve">respecte  la plupart des  conventions de jeu établies. </w:t>
            </w:r>
          </w:p>
        </w:tc>
        <w:tc>
          <w:tcPr>
            <w:tcW w:w="2183" w:type="dxa"/>
          </w:tcPr>
          <w:p w:rsidR="002F66C6" w:rsidRPr="00403778" w:rsidRDefault="002F66C6" w:rsidP="00403778">
            <w:pPr>
              <w:pStyle w:val="En-tte"/>
              <w:spacing w:after="40"/>
              <w:rPr>
                <w:sz w:val="19"/>
                <w:szCs w:val="19"/>
              </w:rPr>
            </w:pPr>
            <w:r w:rsidRPr="00403778">
              <w:rPr>
                <w:sz w:val="19"/>
                <w:szCs w:val="19"/>
              </w:rPr>
              <w:t>L’élève :</w:t>
            </w:r>
          </w:p>
          <w:p w:rsidR="002F66C6" w:rsidRPr="00403778" w:rsidRDefault="002F66C6" w:rsidP="00403778">
            <w:pPr>
              <w:pStyle w:val="En-tte"/>
              <w:numPr>
                <w:ilvl w:val="0"/>
                <w:numId w:val="7"/>
              </w:numPr>
              <w:tabs>
                <w:tab w:val="clear" w:pos="720"/>
              </w:tabs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>intègre quelques caractéristiques du personnage;</w:t>
            </w:r>
          </w:p>
          <w:p w:rsidR="002F66C6" w:rsidRPr="00403778" w:rsidRDefault="002F66C6" w:rsidP="00403778">
            <w:pPr>
              <w:pStyle w:val="En-tte"/>
              <w:numPr>
                <w:ilvl w:val="0"/>
                <w:numId w:val="7"/>
              </w:numPr>
              <w:tabs>
                <w:tab w:val="clear" w:pos="720"/>
              </w:tabs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>démontre une compréhension partielle de l’œuvre;</w:t>
            </w:r>
          </w:p>
          <w:p w:rsidR="002F66C6" w:rsidRPr="00403778" w:rsidRDefault="002F66C6" w:rsidP="00403778">
            <w:pPr>
              <w:pStyle w:val="En-tte"/>
              <w:numPr>
                <w:ilvl w:val="0"/>
                <w:numId w:val="7"/>
              </w:numPr>
              <w:tabs>
                <w:tab w:val="clear" w:pos="720"/>
              </w:tabs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>respecte en partie les conventions de jeu établies.</w:t>
            </w:r>
          </w:p>
        </w:tc>
        <w:tc>
          <w:tcPr>
            <w:tcW w:w="2184" w:type="dxa"/>
          </w:tcPr>
          <w:p w:rsidR="002F66C6" w:rsidRPr="00403778" w:rsidRDefault="002F66C6" w:rsidP="00403778">
            <w:pPr>
              <w:pStyle w:val="En-tte"/>
              <w:spacing w:after="40"/>
              <w:rPr>
                <w:sz w:val="15"/>
                <w:szCs w:val="15"/>
              </w:rPr>
            </w:pPr>
            <w:r w:rsidRPr="00403778">
              <w:rPr>
                <w:sz w:val="19"/>
                <w:szCs w:val="19"/>
              </w:rPr>
              <w:t>L’élève</w:t>
            </w:r>
            <w:r w:rsidRPr="00403778">
              <w:rPr>
                <w:sz w:val="15"/>
                <w:szCs w:val="15"/>
              </w:rPr>
              <w:t> :</w:t>
            </w:r>
          </w:p>
          <w:p w:rsidR="002F66C6" w:rsidRPr="00403778" w:rsidRDefault="002F66C6" w:rsidP="0018342B">
            <w:pPr>
              <w:pStyle w:val="En-tte"/>
              <w:numPr>
                <w:ilvl w:val="0"/>
                <w:numId w:val="9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 xml:space="preserve">intègre peu de caractéristiques  liées au personnage; </w:t>
            </w:r>
          </w:p>
          <w:p w:rsidR="002F66C6" w:rsidRPr="00403778" w:rsidRDefault="002F66C6" w:rsidP="0018342B">
            <w:pPr>
              <w:pStyle w:val="En-tte"/>
              <w:numPr>
                <w:ilvl w:val="0"/>
                <w:numId w:val="9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>démontre une compréhension limitée de l’œuvre;</w:t>
            </w:r>
          </w:p>
          <w:p w:rsidR="002F66C6" w:rsidRPr="00403778" w:rsidRDefault="002F66C6" w:rsidP="0018342B">
            <w:pPr>
              <w:pStyle w:val="En-tte"/>
              <w:numPr>
                <w:ilvl w:val="0"/>
                <w:numId w:val="9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>respecte peu les conventions de jeu établies.</w:t>
            </w:r>
          </w:p>
        </w:tc>
        <w:tc>
          <w:tcPr>
            <w:tcW w:w="2184" w:type="dxa"/>
          </w:tcPr>
          <w:p w:rsidR="002F66C6" w:rsidRPr="00403778" w:rsidRDefault="002F66C6" w:rsidP="00403778">
            <w:pPr>
              <w:pStyle w:val="En-tte"/>
              <w:spacing w:after="40"/>
              <w:rPr>
                <w:sz w:val="15"/>
                <w:szCs w:val="15"/>
              </w:rPr>
            </w:pPr>
            <w:r w:rsidRPr="00403778">
              <w:rPr>
                <w:sz w:val="19"/>
                <w:szCs w:val="19"/>
              </w:rPr>
              <w:t>L’élève</w:t>
            </w:r>
            <w:r w:rsidRPr="00403778">
              <w:rPr>
                <w:sz w:val="15"/>
                <w:szCs w:val="15"/>
              </w:rPr>
              <w:t> :</w:t>
            </w:r>
          </w:p>
          <w:p w:rsidR="002F66C6" w:rsidRPr="00403778" w:rsidRDefault="002F66C6" w:rsidP="0018342B">
            <w:pPr>
              <w:pStyle w:val="En-tte"/>
              <w:numPr>
                <w:ilvl w:val="0"/>
                <w:numId w:val="9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>ne tient pas compte des caractéristiques du personnage et de l’œuvre;</w:t>
            </w:r>
          </w:p>
          <w:p w:rsidR="002F66C6" w:rsidRPr="00403778" w:rsidRDefault="002F66C6" w:rsidP="0018342B">
            <w:pPr>
              <w:pStyle w:val="En-tte"/>
              <w:numPr>
                <w:ilvl w:val="0"/>
                <w:numId w:val="9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03778">
              <w:rPr>
                <w:sz w:val="15"/>
                <w:szCs w:val="15"/>
              </w:rPr>
              <w:t>ne considère  pas les conventions de jeu établies.</w:t>
            </w:r>
          </w:p>
        </w:tc>
      </w:tr>
    </w:tbl>
    <w:p w:rsidR="00851361" w:rsidRDefault="00851361" w:rsidP="00751F5F">
      <w:pPr>
        <w:spacing w:after="0" w:line="240" w:lineRule="auto"/>
      </w:pPr>
    </w:p>
    <w:sectPr w:rsidR="00851361" w:rsidSect="006B2DF7">
      <w:footerReference w:type="default" r:id="rId9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C2" w:rsidRDefault="005745C2" w:rsidP="000C7F35">
      <w:pPr>
        <w:spacing w:after="0" w:line="240" w:lineRule="auto"/>
      </w:pPr>
      <w:r>
        <w:separator/>
      </w:r>
    </w:p>
  </w:endnote>
  <w:endnote w:type="continuationSeparator" w:id="0">
    <w:p w:rsidR="005745C2" w:rsidRDefault="005745C2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9" w:rsidRPr="00837503" w:rsidRDefault="00427759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203DE7">
      <w:rPr>
        <w:i/>
        <w:noProof/>
        <w:color w:val="808080" w:themeColor="background1" w:themeShade="80"/>
        <w:sz w:val="16"/>
        <w:szCs w:val="16"/>
      </w:rPr>
      <w:t>Grille_AD_SEC_1e_2e_cyc</w:t>
    </w:r>
    <w:r w:rsidR="00553955">
      <w:rPr>
        <w:i/>
        <w:noProof/>
        <w:color w:val="808080" w:themeColor="background1" w:themeShade="80"/>
        <w:sz w:val="16"/>
        <w:szCs w:val="16"/>
      </w:rPr>
      <w:t>le_C1C2_.</w:t>
    </w:r>
    <w:r w:rsidR="00203DE7">
      <w:rPr>
        <w:i/>
        <w:noProof/>
        <w:color w:val="808080" w:themeColor="background1" w:themeShade="80"/>
        <w:sz w:val="16"/>
        <w:szCs w:val="16"/>
      </w:rPr>
      <w:t>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C2" w:rsidRDefault="005745C2" w:rsidP="000C7F35">
      <w:pPr>
        <w:spacing w:after="0" w:line="240" w:lineRule="auto"/>
      </w:pPr>
      <w:r>
        <w:separator/>
      </w:r>
    </w:p>
  </w:footnote>
  <w:footnote w:type="continuationSeparator" w:id="0">
    <w:p w:rsidR="005745C2" w:rsidRDefault="005745C2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25C"/>
    <w:multiLevelType w:val="hybridMultilevel"/>
    <w:tmpl w:val="3850E720"/>
    <w:lvl w:ilvl="0" w:tplc="0C0C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0B392A4D"/>
    <w:multiLevelType w:val="hybridMultilevel"/>
    <w:tmpl w:val="FD5EBA6C"/>
    <w:lvl w:ilvl="0" w:tplc="0C0C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C4A30B4"/>
    <w:multiLevelType w:val="hybridMultilevel"/>
    <w:tmpl w:val="50286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C70"/>
    <w:multiLevelType w:val="hybridMultilevel"/>
    <w:tmpl w:val="EFCCF1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97F7E"/>
    <w:multiLevelType w:val="hybridMultilevel"/>
    <w:tmpl w:val="488239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55338"/>
    <w:multiLevelType w:val="hybridMultilevel"/>
    <w:tmpl w:val="B53C3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74321"/>
    <w:multiLevelType w:val="hybridMultilevel"/>
    <w:tmpl w:val="4CDE7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60B62"/>
    <w:multiLevelType w:val="hybridMultilevel"/>
    <w:tmpl w:val="83E2EE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23420"/>
    <w:rsid w:val="00026692"/>
    <w:rsid w:val="00081902"/>
    <w:rsid w:val="000C7F35"/>
    <w:rsid w:val="000F13BC"/>
    <w:rsid w:val="00116B4C"/>
    <w:rsid w:val="001725FF"/>
    <w:rsid w:val="0018342B"/>
    <w:rsid w:val="001E7BEE"/>
    <w:rsid w:val="00203DE7"/>
    <w:rsid w:val="00213255"/>
    <w:rsid w:val="00241880"/>
    <w:rsid w:val="00266E51"/>
    <w:rsid w:val="002764D0"/>
    <w:rsid w:val="002C31D2"/>
    <w:rsid w:val="002E6D50"/>
    <w:rsid w:val="002F66C6"/>
    <w:rsid w:val="00325C00"/>
    <w:rsid w:val="0036761D"/>
    <w:rsid w:val="003A34CC"/>
    <w:rsid w:val="00403778"/>
    <w:rsid w:val="00427759"/>
    <w:rsid w:val="004366A4"/>
    <w:rsid w:val="004D65B4"/>
    <w:rsid w:val="004E3BF1"/>
    <w:rsid w:val="00521059"/>
    <w:rsid w:val="00553955"/>
    <w:rsid w:val="00571D82"/>
    <w:rsid w:val="005745C2"/>
    <w:rsid w:val="005B652A"/>
    <w:rsid w:val="005C2ED4"/>
    <w:rsid w:val="005C5663"/>
    <w:rsid w:val="006119D0"/>
    <w:rsid w:val="00624A62"/>
    <w:rsid w:val="006515AE"/>
    <w:rsid w:val="00651EEC"/>
    <w:rsid w:val="006529ED"/>
    <w:rsid w:val="00675249"/>
    <w:rsid w:val="0068785E"/>
    <w:rsid w:val="00697663"/>
    <w:rsid w:val="006B2DF7"/>
    <w:rsid w:val="006C05DE"/>
    <w:rsid w:val="00716684"/>
    <w:rsid w:val="00717E2E"/>
    <w:rsid w:val="00747705"/>
    <w:rsid w:val="00751F5F"/>
    <w:rsid w:val="00783221"/>
    <w:rsid w:val="007C1DAC"/>
    <w:rsid w:val="00837503"/>
    <w:rsid w:val="00851361"/>
    <w:rsid w:val="00851DF2"/>
    <w:rsid w:val="008615E0"/>
    <w:rsid w:val="00895115"/>
    <w:rsid w:val="008C346A"/>
    <w:rsid w:val="008C7127"/>
    <w:rsid w:val="008F6640"/>
    <w:rsid w:val="009162E3"/>
    <w:rsid w:val="00950253"/>
    <w:rsid w:val="00987E05"/>
    <w:rsid w:val="009A0032"/>
    <w:rsid w:val="00A17C22"/>
    <w:rsid w:val="00A43219"/>
    <w:rsid w:val="00A47BE9"/>
    <w:rsid w:val="00AE624F"/>
    <w:rsid w:val="00B12E46"/>
    <w:rsid w:val="00B2782E"/>
    <w:rsid w:val="00BB0FF9"/>
    <w:rsid w:val="00BB62CB"/>
    <w:rsid w:val="00C24CEE"/>
    <w:rsid w:val="00C831E6"/>
    <w:rsid w:val="00C907CB"/>
    <w:rsid w:val="00D34510"/>
    <w:rsid w:val="00D82767"/>
    <w:rsid w:val="00DA27EB"/>
    <w:rsid w:val="00E10FF7"/>
    <w:rsid w:val="00E33BC5"/>
    <w:rsid w:val="00E9541E"/>
    <w:rsid w:val="00EF3669"/>
    <w:rsid w:val="00F057A4"/>
    <w:rsid w:val="00F701EA"/>
    <w:rsid w:val="00FA24C9"/>
    <w:rsid w:val="00FB6287"/>
    <w:rsid w:val="00FE527C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Titre">
    <w:name w:val="Title"/>
    <w:basedOn w:val="Normal"/>
    <w:link w:val="TitreCar"/>
    <w:qFormat/>
    <w:rsid w:val="00116B4C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16B4C"/>
    <w:rPr>
      <w:rFonts w:ascii="Tahoma" w:eastAsia="Times New Roman" w:hAnsi="Tahoma" w:cs="Tahoma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Titre">
    <w:name w:val="Title"/>
    <w:basedOn w:val="Normal"/>
    <w:link w:val="TitreCar"/>
    <w:qFormat/>
    <w:rsid w:val="00116B4C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16B4C"/>
    <w:rPr>
      <w:rFonts w:ascii="Tahoma" w:eastAsia="Times New Roman" w:hAnsi="Tahoma" w:cs="Tahoma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6E5A-4E33-4D5D-BBD1-2B6EC2CF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25</cp:revision>
  <cp:lastPrinted>2014-06-26T15:41:00Z</cp:lastPrinted>
  <dcterms:created xsi:type="dcterms:W3CDTF">2014-06-25T19:52:00Z</dcterms:created>
  <dcterms:modified xsi:type="dcterms:W3CDTF">2014-06-27T19:52:00Z</dcterms:modified>
</cp:coreProperties>
</file>